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570BC" w14:textId="77777777" w:rsidR="008F2BB4" w:rsidRDefault="008F2BB4" w:rsidP="008F2BB4">
      <w:pPr>
        <w:tabs>
          <w:tab w:val="left" w:pos="720"/>
        </w:tabs>
        <w:rPr>
          <w:rFonts w:ascii="Arial" w:hAnsi="Arial" w:cs="Arial"/>
          <w:b/>
          <w:bCs/>
        </w:rPr>
      </w:pPr>
      <w:r>
        <w:rPr>
          <w:rFonts w:ascii="Arial" w:hAnsi="Arial" w:cs="Arial"/>
          <w:b/>
          <w:bCs/>
        </w:rPr>
        <w:t>1.</w:t>
      </w:r>
      <w:r>
        <w:rPr>
          <w:rFonts w:ascii="Arial" w:hAnsi="Arial" w:cs="Arial"/>
          <w:b/>
          <w:bCs/>
        </w:rPr>
        <w:tab/>
        <w:t>Title</w:t>
      </w:r>
    </w:p>
    <w:p w14:paraId="2E5570BD" w14:textId="77777777" w:rsidR="008F2BB4" w:rsidRDefault="008F2BB4" w:rsidP="008F2BB4">
      <w:pPr>
        <w:tabs>
          <w:tab w:val="left" w:pos="720"/>
        </w:tabs>
        <w:rPr>
          <w:rFonts w:ascii="Arial" w:hAnsi="Arial" w:cs="Arial"/>
        </w:rPr>
      </w:pPr>
    </w:p>
    <w:p w14:paraId="2E5570BE" w14:textId="77777777" w:rsidR="008F2BB4" w:rsidRDefault="008F2BB4" w:rsidP="008F2BB4">
      <w:pPr>
        <w:tabs>
          <w:tab w:val="left" w:pos="720"/>
        </w:tabs>
        <w:rPr>
          <w:rFonts w:ascii="Arial" w:hAnsi="Arial" w:cs="Arial"/>
        </w:rPr>
      </w:pPr>
      <w:r>
        <w:rPr>
          <w:rFonts w:ascii="Arial" w:hAnsi="Arial" w:cs="Arial"/>
        </w:rPr>
        <w:tab/>
        <w:t>Statement of U. T. System Values and Expectations</w:t>
      </w:r>
    </w:p>
    <w:p w14:paraId="2E5570BF" w14:textId="77777777" w:rsidR="008F2BB4" w:rsidRDefault="008F2BB4" w:rsidP="008F2BB4">
      <w:pPr>
        <w:tabs>
          <w:tab w:val="left" w:pos="720"/>
        </w:tabs>
        <w:rPr>
          <w:rFonts w:ascii="Arial" w:hAnsi="Arial" w:cs="Arial"/>
        </w:rPr>
      </w:pPr>
    </w:p>
    <w:p w14:paraId="2E5570C0" w14:textId="77777777" w:rsidR="008F2BB4" w:rsidRDefault="008F2BB4" w:rsidP="008F2BB4">
      <w:pPr>
        <w:tabs>
          <w:tab w:val="left" w:pos="720"/>
        </w:tabs>
        <w:rPr>
          <w:rFonts w:ascii="Arial" w:hAnsi="Arial" w:cs="Arial"/>
        </w:rPr>
      </w:pPr>
      <w:r>
        <w:rPr>
          <w:rFonts w:ascii="Arial" w:hAnsi="Arial" w:cs="Arial"/>
          <w:b/>
          <w:bCs/>
        </w:rPr>
        <w:t>2.</w:t>
      </w:r>
      <w:r>
        <w:rPr>
          <w:rFonts w:ascii="Arial" w:hAnsi="Arial" w:cs="Arial"/>
          <w:b/>
          <w:bCs/>
        </w:rPr>
        <w:tab/>
        <w:t>Rule and Regulation</w:t>
      </w:r>
    </w:p>
    <w:p w14:paraId="2E5570C1" w14:textId="77777777" w:rsidR="008F2BB4" w:rsidRDefault="008F2BB4" w:rsidP="008F2BB4">
      <w:pPr>
        <w:tabs>
          <w:tab w:val="left" w:pos="720"/>
        </w:tabs>
        <w:rPr>
          <w:rFonts w:ascii="Arial" w:hAnsi="Arial" w:cs="Arial"/>
        </w:rPr>
      </w:pPr>
    </w:p>
    <w:p w14:paraId="2E5570C2" w14:textId="77777777" w:rsidR="008F2BB4" w:rsidRDefault="008F2BB4" w:rsidP="008F2BB4">
      <w:pPr>
        <w:pStyle w:val="SubsectionText"/>
        <w:ind w:left="1800" w:hanging="1080"/>
        <w:rPr>
          <w:rFonts w:cs="Arial"/>
          <w:szCs w:val="24"/>
        </w:rPr>
      </w:pPr>
      <w:r w:rsidRPr="00105A02">
        <w:rPr>
          <w:rFonts w:cs="Arial"/>
          <w:szCs w:val="24"/>
        </w:rPr>
        <w:t>Sec. 1</w:t>
      </w:r>
      <w:r w:rsidRPr="00105A02">
        <w:rPr>
          <w:rFonts w:cs="Arial"/>
          <w:szCs w:val="24"/>
        </w:rPr>
        <w:tab/>
      </w:r>
      <w:r>
        <w:rPr>
          <w:rFonts w:cs="Arial"/>
          <w:szCs w:val="24"/>
        </w:rPr>
        <w:t>Purpose.</w:t>
      </w:r>
    </w:p>
    <w:p w14:paraId="2E5570C3" w14:textId="77777777" w:rsidR="008F2BB4" w:rsidRDefault="008F2BB4" w:rsidP="008F2BB4">
      <w:pPr>
        <w:pStyle w:val="SubsectionText"/>
        <w:ind w:left="1800" w:hanging="1080"/>
        <w:rPr>
          <w:rFonts w:cs="Arial"/>
          <w:szCs w:val="24"/>
        </w:rPr>
      </w:pPr>
    </w:p>
    <w:p w14:paraId="2E5570C4" w14:textId="77777777" w:rsidR="008F2BB4" w:rsidRDefault="008F2BB4" w:rsidP="008F2BB4">
      <w:pPr>
        <w:pStyle w:val="SubsectionText"/>
        <w:ind w:left="1800" w:hanging="1080"/>
        <w:rPr>
          <w:rFonts w:cs="Arial"/>
          <w:szCs w:val="24"/>
        </w:rPr>
      </w:pPr>
      <w:r>
        <w:rPr>
          <w:rFonts w:cs="Arial"/>
          <w:szCs w:val="24"/>
        </w:rPr>
        <w:tab/>
        <w:t xml:space="preserve">This Rule outlines the general values to be adopted and embraced by all </w:t>
      </w:r>
      <w:r w:rsidRPr="0053780F">
        <w:rPr>
          <w:rFonts w:cs="Arial"/>
          <w:szCs w:val="24"/>
        </w:rPr>
        <w:t>U. T. System</w:t>
      </w:r>
      <w:r>
        <w:rPr>
          <w:rFonts w:cs="Arial"/>
          <w:szCs w:val="24"/>
        </w:rPr>
        <w:t xml:space="preserve"> officers and employees to ensure that The University of Texas System maintains its reputation as a System that strongly values integrity and requires all operations to be conducted with accountability, transparency, and respect. </w:t>
      </w:r>
    </w:p>
    <w:p w14:paraId="2E5570C5" w14:textId="77777777" w:rsidR="008F2BB4" w:rsidRDefault="008F2BB4" w:rsidP="008F2BB4">
      <w:pPr>
        <w:pStyle w:val="SubsectionText"/>
        <w:ind w:left="1800" w:hanging="1080"/>
        <w:rPr>
          <w:rFonts w:cs="Arial"/>
          <w:szCs w:val="24"/>
        </w:rPr>
      </w:pPr>
    </w:p>
    <w:p w14:paraId="2E5570C6" w14:textId="77777777" w:rsidR="008F2BB4" w:rsidRDefault="008F2BB4" w:rsidP="008F2BB4">
      <w:pPr>
        <w:pStyle w:val="SubsectionText"/>
        <w:ind w:left="1800" w:hanging="1080"/>
        <w:rPr>
          <w:rFonts w:cs="Arial"/>
          <w:szCs w:val="24"/>
        </w:rPr>
      </w:pPr>
      <w:r>
        <w:rPr>
          <w:rFonts w:cs="Arial"/>
          <w:szCs w:val="24"/>
        </w:rPr>
        <w:tab/>
        <w:t>The Rule is not a comprehensive guide to all matters of conduct or ethics. Officers and employees are expected to use common sense and best judgment in all situations.</w:t>
      </w:r>
    </w:p>
    <w:p w14:paraId="2E5570C7" w14:textId="77777777" w:rsidR="008F2BB4" w:rsidRDefault="008F2BB4" w:rsidP="008F2BB4">
      <w:pPr>
        <w:pStyle w:val="SubsectionText"/>
        <w:ind w:left="1800" w:hanging="1080"/>
        <w:rPr>
          <w:rFonts w:cs="Arial"/>
          <w:szCs w:val="24"/>
        </w:rPr>
      </w:pPr>
    </w:p>
    <w:p w14:paraId="2E5570C8" w14:textId="77777777" w:rsidR="008F2BB4" w:rsidRDefault="008F2BB4" w:rsidP="008F2BB4">
      <w:pPr>
        <w:pStyle w:val="SubsectionText"/>
        <w:ind w:left="1800" w:hanging="1080"/>
        <w:rPr>
          <w:rFonts w:cs="Arial"/>
          <w:szCs w:val="24"/>
        </w:rPr>
      </w:pPr>
      <w:r>
        <w:rPr>
          <w:rFonts w:cs="Arial"/>
          <w:szCs w:val="24"/>
        </w:rPr>
        <w:t>Sec. 2</w:t>
      </w:r>
      <w:r>
        <w:rPr>
          <w:rFonts w:cs="Arial"/>
          <w:szCs w:val="24"/>
        </w:rPr>
        <w:tab/>
        <w:t xml:space="preserve">Compliance with Laws and Policy. </w:t>
      </w:r>
    </w:p>
    <w:p w14:paraId="2E5570C9" w14:textId="77777777" w:rsidR="008F2BB4" w:rsidRDefault="008F2BB4" w:rsidP="008F2BB4">
      <w:pPr>
        <w:pStyle w:val="SubsectionText"/>
        <w:ind w:left="1800" w:hanging="1080"/>
        <w:rPr>
          <w:rFonts w:cs="Arial"/>
          <w:szCs w:val="24"/>
        </w:rPr>
      </w:pPr>
    </w:p>
    <w:p w14:paraId="2E5570CA" w14:textId="77777777" w:rsidR="008F2BB4" w:rsidRDefault="008F2BB4" w:rsidP="008F2BB4">
      <w:pPr>
        <w:pStyle w:val="SubsectionText"/>
        <w:ind w:left="1800" w:hanging="1080"/>
        <w:rPr>
          <w:rFonts w:cs="Arial"/>
          <w:szCs w:val="24"/>
        </w:rPr>
      </w:pPr>
      <w:r>
        <w:rPr>
          <w:rFonts w:cs="Arial"/>
          <w:szCs w:val="24"/>
        </w:rPr>
        <w:tab/>
        <w:t xml:space="preserve">In addition to the expectations outlined below, U. T. System officers and employees are expected to comply with all applicable federal, State, and local laws as well as applicable rules and policies. </w:t>
      </w:r>
    </w:p>
    <w:p w14:paraId="2E5570CB" w14:textId="77777777" w:rsidR="008F2BB4" w:rsidRDefault="008F2BB4" w:rsidP="008F2BB4">
      <w:pPr>
        <w:pStyle w:val="SubsectionText"/>
        <w:ind w:left="1800" w:hanging="1080"/>
        <w:rPr>
          <w:rFonts w:cs="Arial"/>
          <w:szCs w:val="24"/>
        </w:rPr>
      </w:pPr>
    </w:p>
    <w:p w14:paraId="2E5570CC" w14:textId="77777777" w:rsidR="008F2BB4" w:rsidRDefault="008F2BB4" w:rsidP="008F2BB4">
      <w:pPr>
        <w:pStyle w:val="SubsectionText"/>
        <w:ind w:left="1800" w:hanging="1080"/>
        <w:rPr>
          <w:rFonts w:cs="Arial"/>
          <w:szCs w:val="24"/>
        </w:rPr>
      </w:pPr>
      <w:r>
        <w:rPr>
          <w:rFonts w:cs="Arial"/>
          <w:szCs w:val="24"/>
        </w:rPr>
        <w:t>Sec. 3</w:t>
      </w:r>
      <w:r>
        <w:rPr>
          <w:rFonts w:cs="Arial"/>
          <w:szCs w:val="24"/>
        </w:rPr>
        <w:tab/>
        <w:t>Minimum Expectations.</w:t>
      </w:r>
    </w:p>
    <w:p w14:paraId="2E5570CD" w14:textId="77777777" w:rsidR="008F2BB4" w:rsidRDefault="008F2BB4" w:rsidP="008F2BB4">
      <w:pPr>
        <w:pStyle w:val="SubsectionText"/>
        <w:ind w:left="1800" w:hanging="1080"/>
        <w:rPr>
          <w:rFonts w:cs="Arial"/>
          <w:szCs w:val="24"/>
        </w:rPr>
      </w:pPr>
    </w:p>
    <w:p w14:paraId="2E5570CE" w14:textId="77777777" w:rsidR="008F2BB4" w:rsidRDefault="008F2BB4" w:rsidP="008F2BB4">
      <w:pPr>
        <w:pStyle w:val="SubsectionText"/>
        <w:ind w:left="2520" w:hanging="720"/>
        <w:rPr>
          <w:rFonts w:cs="Arial"/>
          <w:szCs w:val="24"/>
        </w:rPr>
      </w:pPr>
      <w:r>
        <w:rPr>
          <w:rFonts w:cs="Arial"/>
          <w:szCs w:val="24"/>
        </w:rPr>
        <w:t>3.1</w:t>
      </w:r>
      <w:r>
        <w:rPr>
          <w:rFonts w:cs="Arial"/>
          <w:szCs w:val="24"/>
        </w:rPr>
        <w:tab/>
        <w:t>Trust and Credibility.  The success of The University of Texas System is dependent on maintaining the trust and confidence earned from students, patients, faculty, staff, elected leaders, and members of the public. Trust and confidence are gained by adhering to commitments, displaying honesty and integrity, and reaching goals solely through diligence and honorable conduct.</w:t>
      </w:r>
    </w:p>
    <w:p w14:paraId="2E5570CF" w14:textId="77777777" w:rsidR="008F2BB4" w:rsidRDefault="008F2BB4" w:rsidP="008F2BB4">
      <w:pPr>
        <w:pStyle w:val="SubsectionText"/>
        <w:ind w:left="2520" w:hanging="720"/>
        <w:rPr>
          <w:rFonts w:cs="Arial"/>
          <w:szCs w:val="24"/>
        </w:rPr>
      </w:pPr>
    </w:p>
    <w:p w14:paraId="2E5570D0" w14:textId="77777777" w:rsidR="008F2BB4" w:rsidRDefault="008F2BB4" w:rsidP="008F2BB4">
      <w:pPr>
        <w:pStyle w:val="SubsectionText"/>
        <w:ind w:left="2520" w:hanging="720"/>
        <w:rPr>
          <w:rFonts w:cs="Arial"/>
          <w:szCs w:val="24"/>
        </w:rPr>
      </w:pPr>
      <w:r>
        <w:rPr>
          <w:rFonts w:cs="Arial"/>
          <w:szCs w:val="24"/>
        </w:rPr>
        <w:t>3.2</w:t>
      </w:r>
      <w:r>
        <w:rPr>
          <w:rFonts w:cs="Arial"/>
          <w:szCs w:val="24"/>
        </w:rPr>
        <w:tab/>
        <w:t>Respect for the Individual.  The University of Texas System and the Board of Regents are committed to creating an environment where all U. T. System officers and employees are treated with dignity and respect.</w:t>
      </w:r>
    </w:p>
    <w:p w14:paraId="2E5570D1" w14:textId="77777777" w:rsidR="008F2BB4" w:rsidRDefault="008F2BB4" w:rsidP="008F2BB4">
      <w:pPr>
        <w:pStyle w:val="SubsectionText"/>
        <w:ind w:left="2520" w:hanging="720"/>
        <w:rPr>
          <w:rFonts w:cs="Arial"/>
          <w:szCs w:val="24"/>
        </w:rPr>
      </w:pPr>
    </w:p>
    <w:p w14:paraId="2E5570D2" w14:textId="77777777" w:rsidR="008F2BB4" w:rsidRDefault="008F2BB4" w:rsidP="008F2BB4">
      <w:pPr>
        <w:pStyle w:val="SubsectionText"/>
        <w:ind w:left="2520" w:hanging="720"/>
        <w:rPr>
          <w:rFonts w:cs="Arial"/>
          <w:szCs w:val="24"/>
        </w:rPr>
      </w:pPr>
      <w:r>
        <w:rPr>
          <w:rFonts w:cs="Arial"/>
          <w:szCs w:val="24"/>
        </w:rPr>
        <w:t>3.3</w:t>
      </w:r>
      <w:r>
        <w:rPr>
          <w:rFonts w:cs="Arial"/>
          <w:szCs w:val="24"/>
        </w:rPr>
        <w:tab/>
        <w:t xml:space="preserve">Culture of Open and Honest Communication.  Managers have a responsibility to create an open and supportive environment where employees understand the importance and value of raising and responding to </w:t>
      </w:r>
      <w:r>
        <w:rPr>
          <w:rFonts w:cs="Arial"/>
          <w:szCs w:val="24"/>
        </w:rPr>
        <w:lastRenderedPageBreak/>
        <w:t>concerns about potentially questionable or unethical behavior.</w:t>
      </w:r>
    </w:p>
    <w:p w14:paraId="2E5570D3" w14:textId="77777777" w:rsidR="008F2BB4" w:rsidRDefault="008F2BB4" w:rsidP="008F2BB4">
      <w:pPr>
        <w:pStyle w:val="SubsectionText"/>
        <w:ind w:left="2520" w:hanging="720"/>
        <w:rPr>
          <w:rFonts w:cs="Arial"/>
          <w:szCs w:val="24"/>
        </w:rPr>
      </w:pPr>
    </w:p>
    <w:p w14:paraId="2E5570D4" w14:textId="77777777" w:rsidR="008F2BB4" w:rsidRDefault="008F2BB4" w:rsidP="008F2BB4">
      <w:pPr>
        <w:pStyle w:val="SubsectionText"/>
        <w:ind w:left="2520" w:hanging="720"/>
        <w:rPr>
          <w:rFonts w:cs="Arial"/>
          <w:szCs w:val="24"/>
        </w:rPr>
      </w:pPr>
      <w:r>
        <w:rPr>
          <w:rFonts w:cs="Arial"/>
          <w:szCs w:val="24"/>
        </w:rPr>
        <w:t>3.4</w:t>
      </w:r>
      <w:r>
        <w:rPr>
          <w:rFonts w:cs="Arial"/>
          <w:szCs w:val="24"/>
        </w:rPr>
        <w:tab/>
        <w:t>Setting the Tone.  U. T. System leadership including the Chancellor and the Presidents and the members of the Board of Regents has the added responsibility for demonstrating, through actions and leadership, the importance of the expectations described in this Rule. The Chancellor and the Presidents must be responsible for promptly and appropriately reviewing questions or concerns about ethical behavior raised by employees or others and for taking appropriate and timely steps to address any problems identified.</w:t>
      </w:r>
    </w:p>
    <w:p w14:paraId="2E5570D5" w14:textId="77777777" w:rsidR="008F2BB4" w:rsidRDefault="008F2BB4" w:rsidP="008F2BB4">
      <w:pPr>
        <w:tabs>
          <w:tab w:val="left" w:pos="720"/>
          <w:tab w:val="left" w:pos="2340"/>
        </w:tabs>
        <w:ind w:left="720"/>
        <w:rPr>
          <w:rFonts w:ascii="Arial" w:hAnsi="Arial" w:cs="Arial"/>
        </w:rPr>
      </w:pPr>
    </w:p>
    <w:p w14:paraId="2E5570D6" w14:textId="77777777" w:rsidR="00EE337F" w:rsidRDefault="00EE337F">
      <w:pPr>
        <w:tabs>
          <w:tab w:val="left" w:pos="720"/>
          <w:tab w:val="left" w:pos="2340"/>
        </w:tabs>
        <w:rPr>
          <w:rFonts w:ascii="Arial" w:hAnsi="Arial" w:cs="Arial"/>
        </w:rPr>
      </w:pPr>
      <w:r>
        <w:rPr>
          <w:rFonts w:ascii="Arial" w:hAnsi="Arial" w:cs="Arial"/>
          <w:b/>
          <w:bCs/>
        </w:rPr>
        <w:t>3.</w:t>
      </w:r>
      <w:r>
        <w:rPr>
          <w:rFonts w:ascii="Arial" w:hAnsi="Arial" w:cs="Arial"/>
          <w:b/>
          <w:bCs/>
        </w:rPr>
        <w:tab/>
        <w:t>Definitions</w:t>
      </w:r>
    </w:p>
    <w:p w14:paraId="2E5570D7" w14:textId="77777777" w:rsidR="00EE337F" w:rsidRDefault="00EE337F">
      <w:pPr>
        <w:tabs>
          <w:tab w:val="left" w:pos="720"/>
          <w:tab w:val="left" w:pos="2340"/>
        </w:tabs>
        <w:rPr>
          <w:rFonts w:ascii="Arial" w:hAnsi="Arial" w:cs="Arial"/>
        </w:rPr>
      </w:pPr>
    </w:p>
    <w:p w14:paraId="2E5570D8" w14:textId="77777777" w:rsidR="00EE337F" w:rsidRDefault="00EE337F">
      <w:pPr>
        <w:tabs>
          <w:tab w:val="left" w:pos="720"/>
          <w:tab w:val="left" w:pos="2340"/>
        </w:tabs>
        <w:ind w:left="720"/>
        <w:rPr>
          <w:rFonts w:ascii="Arial" w:hAnsi="Arial" w:cs="Arial"/>
        </w:rPr>
      </w:pPr>
      <w:r>
        <w:rPr>
          <w:rFonts w:ascii="Arial" w:hAnsi="Arial" w:cs="Arial"/>
        </w:rPr>
        <w:t>None</w:t>
      </w:r>
    </w:p>
    <w:p w14:paraId="2E5570D9" w14:textId="77777777" w:rsidR="00EE337F" w:rsidRDefault="00EE337F" w:rsidP="00083E88">
      <w:pPr>
        <w:tabs>
          <w:tab w:val="left" w:pos="720"/>
          <w:tab w:val="left" w:pos="2340"/>
        </w:tabs>
        <w:rPr>
          <w:rFonts w:ascii="Arial" w:hAnsi="Arial" w:cs="Arial"/>
        </w:rPr>
      </w:pPr>
    </w:p>
    <w:p w14:paraId="2E5570DA" w14:textId="77777777" w:rsidR="00EE337F" w:rsidRDefault="00EE337F">
      <w:pPr>
        <w:tabs>
          <w:tab w:val="left" w:pos="720"/>
          <w:tab w:val="left" w:pos="2340"/>
        </w:tabs>
        <w:rPr>
          <w:rFonts w:ascii="Arial" w:hAnsi="Arial" w:cs="Arial"/>
        </w:rPr>
      </w:pPr>
      <w:r>
        <w:rPr>
          <w:rFonts w:ascii="Arial" w:hAnsi="Arial" w:cs="Arial"/>
          <w:b/>
          <w:bCs/>
        </w:rPr>
        <w:t>4.</w:t>
      </w:r>
      <w:r>
        <w:rPr>
          <w:rFonts w:ascii="Arial" w:hAnsi="Arial" w:cs="Arial"/>
          <w:b/>
          <w:bCs/>
        </w:rPr>
        <w:tab/>
        <w:t>Relevant Federal and State Statutes</w:t>
      </w:r>
    </w:p>
    <w:p w14:paraId="2E5570DB" w14:textId="77777777" w:rsidR="00EE337F" w:rsidRDefault="00EE337F">
      <w:pPr>
        <w:tabs>
          <w:tab w:val="left" w:pos="720"/>
          <w:tab w:val="left" w:pos="2340"/>
        </w:tabs>
        <w:rPr>
          <w:rFonts w:ascii="Arial" w:hAnsi="Arial" w:cs="Arial"/>
        </w:rPr>
      </w:pPr>
    </w:p>
    <w:p w14:paraId="2E5570DC" w14:textId="77777777" w:rsidR="00EE337F" w:rsidRPr="00083E88" w:rsidRDefault="00083E88" w:rsidP="00083E88">
      <w:pPr>
        <w:tabs>
          <w:tab w:val="left" w:pos="720"/>
        </w:tabs>
        <w:ind w:left="720"/>
        <w:rPr>
          <w:rFonts w:ascii="Arial" w:hAnsi="Arial" w:cs="Arial"/>
        </w:rPr>
      </w:pPr>
      <w:r w:rsidRPr="00083E88">
        <w:rPr>
          <w:rFonts w:ascii="Arial" w:hAnsi="Arial" w:cs="Arial"/>
        </w:rPr>
        <w:t>None</w:t>
      </w:r>
    </w:p>
    <w:p w14:paraId="2E5570DD" w14:textId="77777777" w:rsidR="001076D1" w:rsidRDefault="001076D1">
      <w:pPr>
        <w:tabs>
          <w:tab w:val="left" w:pos="720"/>
          <w:tab w:val="left" w:pos="2340"/>
        </w:tabs>
        <w:rPr>
          <w:rFonts w:ascii="Arial" w:hAnsi="Arial" w:cs="Arial"/>
        </w:rPr>
      </w:pPr>
    </w:p>
    <w:p w14:paraId="2E5570DE" w14:textId="77777777" w:rsidR="00EE337F" w:rsidRDefault="00EE337F">
      <w:pPr>
        <w:tabs>
          <w:tab w:val="left" w:pos="720"/>
          <w:tab w:val="left" w:pos="2340"/>
        </w:tabs>
        <w:rPr>
          <w:rFonts w:ascii="Arial" w:hAnsi="Arial" w:cs="Arial"/>
          <w:b/>
          <w:bCs/>
        </w:rPr>
      </w:pPr>
      <w:r>
        <w:rPr>
          <w:rFonts w:ascii="Arial" w:hAnsi="Arial" w:cs="Arial"/>
          <w:b/>
          <w:bCs/>
        </w:rPr>
        <w:t>5.</w:t>
      </w:r>
      <w:r>
        <w:rPr>
          <w:rFonts w:ascii="Arial" w:hAnsi="Arial" w:cs="Arial"/>
          <w:b/>
          <w:bCs/>
        </w:rPr>
        <w:tab/>
        <w:t>Relevant System Policies, Procedures, and Forms</w:t>
      </w:r>
    </w:p>
    <w:p w14:paraId="2E5570DF" w14:textId="77777777" w:rsidR="00EE337F" w:rsidRDefault="00EE337F">
      <w:pPr>
        <w:tabs>
          <w:tab w:val="left" w:pos="720"/>
          <w:tab w:val="left" w:pos="2340"/>
        </w:tabs>
        <w:rPr>
          <w:rFonts w:ascii="Arial" w:hAnsi="Arial" w:cs="Arial"/>
          <w:b/>
          <w:bCs/>
        </w:rPr>
      </w:pPr>
    </w:p>
    <w:p w14:paraId="2E5570E0" w14:textId="77777777" w:rsidR="001E4032" w:rsidRDefault="009957D1" w:rsidP="001E4032">
      <w:pPr>
        <w:tabs>
          <w:tab w:val="left" w:pos="720"/>
          <w:tab w:val="left" w:pos="2340"/>
        </w:tabs>
        <w:ind w:left="720"/>
        <w:rPr>
          <w:rFonts w:ascii="Arial" w:hAnsi="Arial" w:cs="Arial"/>
          <w:iCs/>
        </w:rPr>
      </w:pPr>
      <w:hyperlink r:id="rId13" w:history="1">
        <w:r w:rsidR="001E4032" w:rsidRPr="001E4032">
          <w:rPr>
            <w:rStyle w:val="Hyperlink"/>
            <w:rFonts w:ascii="Arial" w:hAnsi="Arial" w:cs="Arial"/>
            <w:iCs/>
          </w:rPr>
          <w:t>U</w:t>
        </w:r>
        <w:r w:rsidR="00083E88">
          <w:rPr>
            <w:rStyle w:val="Hyperlink"/>
            <w:rFonts w:ascii="Arial" w:hAnsi="Arial" w:cs="Arial"/>
            <w:iCs/>
          </w:rPr>
          <w:t xml:space="preserve">. </w:t>
        </w:r>
        <w:r w:rsidR="001E4032" w:rsidRPr="001E4032">
          <w:rPr>
            <w:rStyle w:val="Hyperlink"/>
            <w:rFonts w:ascii="Arial" w:hAnsi="Arial" w:cs="Arial"/>
            <w:iCs/>
          </w:rPr>
          <w:t>T</w:t>
        </w:r>
        <w:r w:rsidR="00083E88">
          <w:rPr>
            <w:rStyle w:val="Hyperlink"/>
            <w:rFonts w:ascii="Arial" w:hAnsi="Arial" w:cs="Arial"/>
            <w:iCs/>
          </w:rPr>
          <w:t>.</w:t>
        </w:r>
        <w:r w:rsidR="001E4032" w:rsidRPr="001E4032">
          <w:rPr>
            <w:rStyle w:val="Hyperlink"/>
            <w:rFonts w:ascii="Arial" w:hAnsi="Arial" w:cs="Arial"/>
            <w:iCs/>
          </w:rPr>
          <w:t xml:space="preserve"> System Administration Standards of Conduct Guide</w:t>
        </w:r>
      </w:hyperlink>
    </w:p>
    <w:p w14:paraId="2E5570E1" w14:textId="77777777" w:rsidR="001E4032" w:rsidRPr="001E4032" w:rsidRDefault="001E4032" w:rsidP="001E4032">
      <w:pPr>
        <w:tabs>
          <w:tab w:val="left" w:pos="720"/>
          <w:tab w:val="left" w:pos="2340"/>
        </w:tabs>
        <w:ind w:left="720"/>
        <w:rPr>
          <w:rFonts w:ascii="Arial" w:hAnsi="Arial" w:cs="Arial"/>
          <w:iCs/>
        </w:rPr>
      </w:pPr>
    </w:p>
    <w:p w14:paraId="2E5570E2" w14:textId="3864A61D" w:rsidR="001E4032" w:rsidRDefault="001E4032" w:rsidP="001E4032">
      <w:pPr>
        <w:tabs>
          <w:tab w:val="left" w:pos="720"/>
          <w:tab w:val="left" w:pos="2340"/>
        </w:tabs>
        <w:ind w:left="720"/>
        <w:rPr>
          <w:rFonts w:ascii="Arial" w:hAnsi="Arial" w:cs="Arial"/>
          <w:iCs/>
        </w:rPr>
      </w:pPr>
      <w:r w:rsidRPr="001076D1">
        <w:rPr>
          <w:rFonts w:ascii="Arial" w:hAnsi="Arial" w:cs="Arial"/>
        </w:rPr>
        <w:t>Regents’</w:t>
      </w:r>
      <w:r w:rsidRPr="00890069">
        <w:rPr>
          <w:rFonts w:ascii="Arial" w:hAnsi="Arial" w:cs="Arial"/>
          <w:i/>
        </w:rPr>
        <w:t xml:space="preserve"> Rules and Regulations</w:t>
      </w:r>
      <w:r>
        <w:rPr>
          <w:rFonts w:ascii="Arial" w:hAnsi="Arial" w:cs="Arial"/>
          <w:i/>
        </w:rPr>
        <w:t>,</w:t>
      </w:r>
      <w:r>
        <w:rPr>
          <w:rFonts w:ascii="Arial" w:hAnsi="Arial" w:cs="Arial"/>
        </w:rPr>
        <w:t xml:space="preserve"> </w:t>
      </w:r>
      <w:hyperlink r:id="rId14" w:history="1">
        <w:r w:rsidRPr="00B322F6">
          <w:rPr>
            <w:rStyle w:val="Hyperlink"/>
            <w:rFonts w:ascii="Arial" w:hAnsi="Arial" w:cs="Arial"/>
            <w:iCs/>
          </w:rPr>
          <w:t>Rule 30103</w:t>
        </w:r>
      </w:hyperlink>
      <w:r w:rsidR="003832F1">
        <w:rPr>
          <w:rFonts w:ascii="Arial" w:hAnsi="Arial" w:cs="Arial"/>
        </w:rPr>
        <w:t xml:space="preserve"> – </w:t>
      </w:r>
      <w:r w:rsidRPr="001E4032">
        <w:rPr>
          <w:rFonts w:ascii="Arial" w:hAnsi="Arial" w:cs="Arial"/>
          <w:iCs/>
        </w:rPr>
        <w:t>Standards of Conduct</w:t>
      </w:r>
    </w:p>
    <w:p w14:paraId="2E5570E3" w14:textId="77777777" w:rsidR="001E4032" w:rsidRPr="001E4032" w:rsidRDefault="001E4032" w:rsidP="001E4032">
      <w:pPr>
        <w:tabs>
          <w:tab w:val="left" w:pos="720"/>
          <w:tab w:val="left" w:pos="2340"/>
        </w:tabs>
        <w:ind w:left="720"/>
        <w:rPr>
          <w:rFonts w:ascii="Arial" w:hAnsi="Arial" w:cs="Arial"/>
          <w:iCs/>
        </w:rPr>
      </w:pPr>
    </w:p>
    <w:p w14:paraId="2E5570E4" w14:textId="2B4E010C" w:rsidR="00EE337F" w:rsidRDefault="00EE337F">
      <w:pPr>
        <w:tabs>
          <w:tab w:val="left" w:pos="720"/>
          <w:tab w:val="left" w:pos="2340"/>
        </w:tabs>
        <w:ind w:left="720"/>
        <w:rPr>
          <w:rFonts w:ascii="Arial" w:hAnsi="Arial" w:cs="Arial"/>
        </w:rPr>
      </w:pPr>
      <w:r w:rsidRPr="001076D1">
        <w:rPr>
          <w:rFonts w:ascii="Arial" w:hAnsi="Arial" w:cs="Arial"/>
        </w:rPr>
        <w:t>Regents’</w:t>
      </w:r>
      <w:r w:rsidRPr="00890069">
        <w:rPr>
          <w:rFonts w:ascii="Arial" w:hAnsi="Arial" w:cs="Arial"/>
          <w:i/>
        </w:rPr>
        <w:t xml:space="preserve"> Rules and Regulations</w:t>
      </w:r>
      <w:r w:rsidR="006E771E">
        <w:rPr>
          <w:rFonts w:ascii="Arial" w:hAnsi="Arial" w:cs="Arial"/>
          <w:i/>
        </w:rPr>
        <w:t>,</w:t>
      </w:r>
      <w:r>
        <w:rPr>
          <w:rFonts w:ascii="Arial" w:hAnsi="Arial" w:cs="Arial"/>
        </w:rPr>
        <w:t xml:space="preserve"> </w:t>
      </w:r>
      <w:hyperlink r:id="rId15" w:history="1">
        <w:r w:rsidR="006E771E" w:rsidRPr="00B322F6">
          <w:rPr>
            <w:rStyle w:val="Hyperlink"/>
            <w:rFonts w:ascii="Arial" w:hAnsi="Arial" w:cs="Arial"/>
          </w:rPr>
          <w:t>Rule</w:t>
        </w:r>
        <w:r w:rsidRPr="00B322F6">
          <w:rPr>
            <w:rStyle w:val="Hyperlink"/>
            <w:rFonts w:ascii="Arial" w:hAnsi="Arial" w:cs="Arial"/>
          </w:rPr>
          <w:t xml:space="preserve"> 3</w:t>
        </w:r>
        <w:r w:rsidR="001076D1" w:rsidRPr="00B322F6">
          <w:rPr>
            <w:rStyle w:val="Hyperlink"/>
            <w:rFonts w:ascii="Arial" w:hAnsi="Arial" w:cs="Arial"/>
          </w:rPr>
          <w:t>0104</w:t>
        </w:r>
      </w:hyperlink>
      <w:r>
        <w:rPr>
          <w:rFonts w:ascii="Arial" w:hAnsi="Arial" w:cs="Arial"/>
        </w:rPr>
        <w:t xml:space="preserve"> – Conflict of Interest</w:t>
      </w:r>
      <w:r w:rsidR="00E11038">
        <w:rPr>
          <w:rFonts w:ascii="Arial" w:hAnsi="Arial" w:cs="Arial"/>
        </w:rPr>
        <w:t>, Conflict of Commitment, and Outside Activities</w:t>
      </w:r>
    </w:p>
    <w:p w14:paraId="2E5570E5" w14:textId="77777777" w:rsidR="004F439E" w:rsidRDefault="004F439E">
      <w:pPr>
        <w:tabs>
          <w:tab w:val="left" w:pos="720"/>
          <w:tab w:val="left" w:pos="2340"/>
        </w:tabs>
        <w:ind w:left="720"/>
        <w:rPr>
          <w:rFonts w:ascii="Arial" w:hAnsi="Arial" w:cs="Arial"/>
        </w:rPr>
      </w:pPr>
    </w:p>
    <w:p w14:paraId="2E5570E6" w14:textId="48C2EB39" w:rsidR="004F439E" w:rsidRPr="001E4032" w:rsidRDefault="004F439E" w:rsidP="004F439E">
      <w:pPr>
        <w:tabs>
          <w:tab w:val="left" w:pos="720"/>
          <w:tab w:val="left" w:pos="2340"/>
        </w:tabs>
        <w:ind w:left="720"/>
        <w:rPr>
          <w:rFonts w:ascii="Arial" w:hAnsi="Arial" w:cs="Arial"/>
          <w:iCs/>
        </w:rPr>
      </w:pPr>
      <w:r w:rsidRPr="001E4032">
        <w:rPr>
          <w:rFonts w:ascii="Arial" w:hAnsi="Arial" w:cs="Arial"/>
          <w:iCs/>
        </w:rPr>
        <w:t xml:space="preserve">Regents’ </w:t>
      </w:r>
      <w:r w:rsidRPr="00083E88">
        <w:rPr>
          <w:rFonts w:ascii="Arial" w:hAnsi="Arial" w:cs="Arial"/>
          <w:i/>
          <w:iCs/>
        </w:rPr>
        <w:t>Rules and Regulations</w:t>
      </w:r>
      <w:r w:rsidRPr="001E4032">
        <w:rPr>
          <w:rFonts w:ascii="Arial" w:hAnsi="Arial" w:cs="Arial"/>
          <w:iCs/>
        </w:rPr>
        <w:t xml:space="preserve">, </w:t>
      </w:r>
      <w:hyperlink r:id="rId16" w:history="1">
        <w:r w:rsidRPr="00B322F6">
          <w:rPr>
            <w:rStyle w:val="Hyperlink"/>
            <w:rFonts w:ascii="Arial" w:hAnsi="Arial" w:cs="Arial"/>
            <w:iCs/>
          </w:rPr>
          <w:t>Rule 10801</w:t>
        </w:r>
      </w:hyperlink>
      <w:r w:rsidR="003832F1">
        <w:rPr>
          <w:rFonts w:ascii="Arial" w:hAnsi="Arial" w:cs="Arial"/>
        </w:rPr>
        <w:t xml:space="preserve"> – </w:t>
      </w:r>
      <w:r w:rsidRPr="001E4032">
        <w:rPr>
          <w:rFonts w:ascii="Arial" w:hAnsi="Arial" w:cs="Arial"/>
          <w:iCs/>
        </w:rPr>
        <w:t>Policy on Transparency, Accountability, and Access to Information</w:t>
      </w:r>
    </w:p>
    <w:p w14:paraId="2E5570E7" w14:textId="77777777" w:rsidR="004F439E" w:rsidRDefault="004F439E" w:rsidP="004F439E">
      <w:pPr>
        <w:tabs>
          <w:tab w:val="left" w:pos="720"/>
          <w:tab w:val="left" w:pos="2340"/>
        </w:tabs>
        <w:ind w:left="720"/>
        <w:rPr>
          <w:rFonts w:ascii="Arial" w:hAnsi="Arial" w:cs="Arial"/>
        </w:rPr>
      </w:pPr>
    </w:p>
    <w:p w14:paraId="2E5570E8" w14:textId="77777777" w:rsidR="00EE337F" w:rsidRDefault="00EE337F">
      <w:pPr>
        <w:tabs>
          <w:tab w:val="left" w:pos="720"/>
        </w:tabs>
        <w:rPr>
          <w:rFonts w:ascii="Arial" w:hAnsi="Arial" w:cs="Arial"/>
        </w:rPr>
      </w:pPr>
      <w:r>
        <w:rPr>
          <w:rFonts w:ascii="Arial" w:hAnsi="Arial" w:cs="Arial"/>
          <w:b/>
          <w:bCs/>
        </w:rPr>
        <w:t>6.</w:t>
      </w:r>
      <w:r>
        <w:rPr>
          <w:rFonts w:ascii="Arial" w:hAnsi="Arial" w:cs="Arial"/>
          <w:b/>
          <w:bCs/>
        </w:rPr>
        <w:tab/>
        <w:t>Who Should Know</w:t>
      </w:r>
    </w:p>
    <w:p w14:paraId="2E5570E9" w14:textId="77777777" w:rsidR="00EE337F" w:rsidRDefault="00EE337F">
      <w:pPr>
        <w:tabs>
          <w:tab w:val="left" w:pos="720"/>
        </w:tabs>
        <w:rPr>
          <w:rFonts w:ascii="Arial" w:hAnsi="Arial" w:cs="Arial"/>
        </w:rPr>
      </w:pPr>
    </w:p>
    <w:p w14:paraId="2E5570EA" w14:textId="77777777" w:rsidR="00707614" w:rsidRDefault="00707614" w:rsidP="00083E88">
      <w:pPr>
        <w:tabs>
          <w:tab w:val="left" w:pos="720"/>
        </w:tabs>
        <w:ind w:left="720"/>
        <w:rPr>
          <w:rFonts w:ascii="Arial" w:hAnsi="Arial" w:cs="Arial"/>
        </w:rPr>
      </w:pPr>
      <w:r>
        <w:rPr>
          <w:rFonts w:ascii="Arial" w:hAnsi="Arial" w:cs="Arial"/>
        </w:rPr>
        <w:t>Administrators</w:t>
      </w:r>
    </w:p>
    <w:p w14:paraId="2E5570EB" w14:textId="77777777" w:rsidR="00EE337F" w:rsidRDefault="00EE337F" w:rsidP="00083E88">
      <w:pPr>
        <w:tabs>
          <w:tab w:val="left" w:pos="720"/>
        </w:tabs>
        <w:ind w:left="720"/>
        <w:rPr>
          <w:rFonts w:ascii="Arial" w:hAnsi="Arial" w:cs="Arial"/>
        </w:rPr>
      </w:pPr>
      <w:r>
        <w:rPr>
          <w:rFonts w:ascii="Arial" w:hAnsi="Arial" w:cs="Arial"/>
        </w:rPr>
        <w:t>Employees</w:t>
      </w:r>
    </w:p>
    <w:p w14:paraId="2E5570EC" w14:textId="77777777" w:rsidR="00EE337F" w:rsidRDefault="00EE337F">
      <w:pPr>
        <w:tabs>
          <w:tab w:val="left" w:pos="720"/>
          <w:tab w:val="left" w:pos="2340"/>
        </w:tabs>
        <w:rPr>
          <w:rFonts w:ascii="Arial" w:hAnsi="Arial" w:cs="Arial"/>
        </w:rPr>
      </w:pPr>
    </w:p>
    <w:p w14:paraId="2E5570ED" w14:textId="77777777" w:rsidR="00EE337F" w:rsidRDefault="00EE337F">
      <w:pPr>
        <w:tabs>
          <w:tab w:val="left" w:pos="720"/>
          <w:tab w:val="left" w:pos="2340"/>
        </w:tabs>
        <w:rPr>
          <w:rFonts w:ascii="Arial" w:hAnsi="Arial" w:cs="Arial"/>
          <w:b/>
          <w:bCs/>
        </w:rPr>
      </w:pPr>
      <w:r>
        <w:rPr>
          <w:rFonts w:ascii="Arial" w:hAnsi="Arial" w:cs="Arial"/>
          <w:b/>
          <w:bCs/>
        </w:rPr>
        <w:t>7.</w:t>
      </w:r>
      <w:r>
        <w:rPr>
          <w:rFonts w:ascii="Arial" w:hAnsi="Arial" w:cs="Arial"/>
          <w:b/>
          <w:bCs/>
        </w:rPr>
        <w:tab/>
        <w:t>System Administration Office(s) Responsible for Rule</w:t>
      </w:r>
    </w:p>
    <w:p w14:paraId="2E5570EE" w14:textId="77777777" w:rsidR="00EE337F" w:rsidRDefault="00EE337F">
      <w:pPr>
        <w:tabs>
          <w:tab w:val="left" w:pos="720"/>
          <w:tab w:val="left" w:pos="2340"/>
        </w:tabs>
        <w:rPr>
          <w:rFonts w:ascii="Arial" w:hAnsi="Arial" w:cs="Arial"/>
        </w:rPr>
      </w:pPr>
    </w:p>
    <w:p w14:paraId="69438E15" w14:textId="052C4BAF" w:rsidR="009957D1" w:rsidRDefault="009957D1">
      <w:pPr>
        <w:tabs>
          <w:tab w:val="left" w:pos="720"/>
          <w:tab w:val="left" w:pos="2340"/>
        </w:tabs>
        <w:rPr>
          <w:rFonts w:ascii="Arial" w:hAnsi="Arial" w:cs="Arial"/>
        </w:rPr>
      </w:pPr>
      <w:r>
        <w:rPr>
          <w:rFonts w:ascii="Arial" w:hAnsi="Arial" w:cs="Arial"/>
        </w:rPr>
        <w:tab/>
        <w:t>Office of the Chancellor</w:t>
      </w:r>
    </w:p>
    <w:p w14:paraId="49F633C1" w14:textId="77777777" w:rsidR="009957D1" w:rsidRDefault="009957D1">
      <w:pPr>
        <w:tabs>
          <w:tab w:val="left" w:pos="720"/>
          <w:tab w:val="left" w:pos="2340"/>
        </w:tabs>
        <w:rPr>
          <w:rFonts w:ascii="Arial" w:hAnsi="Arial" w:cs="Arial"/>
        </w:rPr>
      </w:pPr>
      <w:bookmarkStart w:id="0" w:name="_GoBack"/>
      <w:bookmarkEnd w:id="0"/>
    </w:p>
    <w:p w14:paraId="2E5570EF" w14:textId="77777777" w:rsidR="00EE337F" w:rsidRDefault="00707614">
      <w:pPr>
        <w:tabs>
          <w:tab w:val="left" w:pos="720"/>
          <w:tab w:val="left" w:pos="2340"/>
        </w:tabs>
        <w:rPr>
          <w:rFonts w:ascii="Arial" w:hAnsi="Arial" w:cs="Arial"/>
        </w:rPr>
      </w:pPr>
      <w:r>
        <w:rPr>
          <w:rFonts w:ascii="Arial" w:hAnsi="Arial" w:cs="Arial"/>
          <w:b/>
          <w:bCs/>
        </w:rPr>
        <w:t>8</w:t>
      </w:r>
      <w:r w:rsidR="00EE337F">
        <w:rPr>
          <w:rFonts w:ascii="Arial" w:hAnsi="Arial" w:cs="Arial"/>
          <w:b/>
          <w:bCs/>
        </w:rPr>
        <w:t>.</w:t>
      </w:r>
      <w:r w:rsidR="00EE337F">
        <w:rPr>
          <w:rFonts w:ascii="Arial" w:hAnsi="Arial" w:cs="Arial"/>
          <w:b/>
          <w:bCs/>
        </w:rPr>
        <w:tab/>
        <w:t>Dates Approved or Amended</w:t>
      </w:r>
    </w:p>
    <w:p w14:paraId="2E5570F0" w14:textId="77777777" w:rsidR="00EE337F" w:rsidRDefault="00EE337F">
      <w:pPr>
        <w:tabs>
          <w:tab w:val="left" w:pos="720"/>
          <w:tab w:val="left" w:pos="2340"/>
        </w:tabs>
        <w:rPr>
          <w:rFonts w:ascii="Arial" w:hAnsi="Arial" w:cs="Arial"/>
        </w:rPr>
      </w:pPr>
    </w:p>
    <w:p w14:paraId="2E5570F1" w14:textId="77777777" w:rsidR="00EE337F" w:rsidRDefault="00083E88" w:rsidP="00083E88">
      <w:pPr>
        <w:tabs>
          <w:tab w:val="left" w:pos="720"/>
          <w:tab w:val="left" w:pos="2340"/>
        </w:tabs>
        <w:ind w:left="720"/>
        <w:rPr>
          <w:rFonts w:ascii="Arial" w:hAnsi="Arial" w:cs="Arial"/>
        </w:rPr>
      </w:pPr>
      <w:r>
        <w:rPr>
          <w:rFonts w:ascii="Arial" w:hAnsi="Arial" w:cs="Arial"/>
        </w:rPr>
        <w:lastRenderedPageBreak/>
        <w:t>May 14, 2015</w:t>
      </w:r>
    </w:p>
    <w:p w14:paraId="2E5570F2" w14:textId="77777777" w:rsidR="00083E88" w:rsidRDefault="00083E88">
      <w:pPr>
        <w:tabs>
          <w:tab w:val="left" w:pos="720"/>
          <w:tab w:val="left" w:pos="2340"/>
        </w:tabs>
        <w:rPr>
          <w:rFonts w:ascii="Arial" w:hAnsi="Arial" w:cs="Arial"/>
        </w:rPr>
      </w:pPr>
    </w:p>
    <w:p w14:paraId="2E5570F3" w14:textId="77777777" w:rsidR="00EE337F" w:rsidRDefault="00713B51">
      <w:pPr>
        <w:tabs>
          <w:tab w:val="left" w:pos="720"/>
          <w:tab w:val="left" w:pos="2340"/>
        </w:tabs>
        <w:rPr>
          <w:rFonts w:ascii="Arial" w:hAnsi="Arial" w:cs="Arial"/>
          <w:b/>
          <w:bCs/>
        </w:rPr>
      </w:pPr>
      <w:r>
        <w:rPr>
          <w:rFonts w:ascii="Arial" w:hAnsi="Arial" w:cs="Arial"/>
          <w:b/>
          <w:bCs/>
        </w:rPr>
        <w:t>9</w:t>
      </w:r>
      <w:r w:rsidR="00EE337F">
        <w:rPr>
          <w:rFonts w:ascii="Arial" w:hAnsi="Arial" w:cs="Arial"/>
          <w:b/>
          <w:bCs/>
        </w:rPr>
        <w:t xml:space="preserve">. </w:t>
      </w:r>
      <w:r w:rsidR="00EE337F">
        <w:rPr>
          <w:rFonts w:ascii="Arial" w:hAnsi="Arial" w:cs="Arial"/>
          <w:b/>
          <w:bCs/>
        </w:rPr>
        <w:tab/>
        <w:t>Contact Information</w:t>
      </w:r>
    </w:p>
    <w:p w14:paraId="2E5570F4" w14:textId="77777777" w:rsidR="00EE337F" w:rsidRDefault="00EE337F">
      <w:pPr>
        <w:tabs>
          <w:tab w:val="left" w:pos="720"/>
          <w:tab w:val="left" w:pos="2340"/>
        </w:tabs>
        <w:rPr>
          <w:rFonts w:ascii="Arial" w:hAnsi="Arial" w:cs="Arial"/>
          <w:b/>
          <w:bCs/>
        </w:rPr>
      </w:pPr>
    </w:p>
    <w:p w14:paraId="2E5570F5" w14:textId="77777777" w:rsidR="00EE337F" w:rsidRDefault="00EE337F">
      <w:pPr>
        <w:tabs>
          <w:tab w:val="left" w:pos="720"/>
          <w:tab w:val="left" w:pos="2340"/>
        </w:tabs>
        <w:rPr>
          <w:rFonts w:ascii="Arial" w:hAnsi="Arial" w:cs="Arial"/>
        </w:rPr>
      </w:pPr>
      <w:r>
        <w:rPr>
          <w:rFonts w:ascii="Arial" w:hAnsi="Arial" w:cs="Arial"/>
        </w:rPr>
        <w:tab/>
        <w:t xml:space="preserve">Questions or comments regarding this </w:t>
      </w:r>
      <w:r w:rsidR="00A14AFF">
        <w:rPr>
          <w:rFonts w:ascii="Arial" w:hAnsi="Arial" w:cs="Arial"/>
        </w:rPr>
        <w:t>R</w:t>
      </w:r>
      <w:r>
        <w:rPr>
          <w:rFonts w:ascii="Arial" w:hAnsi="Arial" w:cs="Arial"/>
        </w:rPr>
        <w:t>ule should be directed to:</w:t>
      </w:r>
    </w:p>
    <w:p w14:paraId="2E5570F6" w14:textId="77777777" w:rsidR="00EE337F" w:rsidRDefault="00EE337F">
      <w:pPr>
        <w:tabs>
          <w:tab w:val="left" w:pos="720"/>
          <w:tab w:val="left" w:pos="2340"/>
        </w:tabs>
        <w:rPr>
          <w:rFonts w:ascii="Arial" w:hAnsi="Arial" w:cs="Arial"/>
        </w:rPr>
      </w:pPr>
    </w:p>
    <w:p w14:paraId="2E5570F7" w14:textId="77777777" w:rsidR="00EE337F" w:rsidRDefault="009957D1">
      <w:pPr>
        <w:numPr>
          <w:ilvl w:val="0"/>
          <w:numId w:val="6"/>
        </w:numPr>
        <w:tabs>
          <w:tab w:val="left" w:pos="720"/>
          <w:tab w:val="left" w:pos="2340"/>
        </w:tabs>
        <w:rPr>
          <w:rFonts w:ascii="Arial" w:hAnsi="Arial" w:cs="Arial"/>
        </w:rPr>
      </w:pPr>
      <w:hyperlink r:id="rId17" w:history="1">
        <w:r w:rsidR="00EE337F">
          <w:rPr>
            <w:rStyle w:val="Hyperlink"/>
            <w:rFonts w:ascii="Arial" w:hAnsi="Arial" w:cs="Arial"/>
          </w:rPr>
          <w:t>bor@utsystem.edu</w:t>
        </w:r>
      </w:hyperlink>
    </w:p>
    <w:p w14:paraId="2E5570F8" w14:textId="77777777" w:rsidR="00EE337F" w:rsidRDefault="00EE337F">
      <w:pPr>
        <w:tabs>
          <w:tab w:val="left" w:pos="720"/>
          <w:tab w:val="left" w:pos="2340"/>
        </w:tabs>
        <w:ind w:left="720"/>
        <w:rPr>
          <w:rFonts w:ascii="Arial" w:hAnsi="Arial" w:cs="Arial"/>
        </w:rPr>
      </w:pPr>
    </w:p>
    <w:sectPr w:rsidR="00EE337F">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570FB" w14:textId="77777777" w:rsidR="00182269" w:rsidRDefault="00182269">
      <w:r>
        <w:separator/>
      </w:r>
    </w:p>
  </w:endnote>
  <w:endnote w:type="continuationSeparator" w:id="0">
    <w:p w14:paraId="2E5570FC" w14:textId="77777777" w:rsidR="00182269" w:rsidRDefault="0018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7101" w14:textId="77777777" w:rsidR="00843AD9" w:rsidRDefault="00843AD9">
    <w:pPr>
      <w:pStyle w:val="Footer"/>
      <w:rPr>
        <w:rFonts w:ascii="Arial" w:hAnsi="Arial" w:cs="Arial"/>
        <w:b/>
        <w:bCs/>
        <w:sz w:val="22"/>
      </w:rPr>
    </w:pPr>
    <w:r>
      <w:rPr>
        <w:rFonts w:ascii="Arial" w:hAnsi="Arial" w:cs="Arial"/>
        <w:b/>
        <w:bCs/>
        <w:sz w:val="22"/>
        <w:u w:val="single"/>
      </w:rPr>
      <w:tab/>
    </w:r>
    <w:r>
      <w:rPr>
        <w:rFonts w:ascii="Arial" w:hAnsi="Arial" w:cs="Arial"/>
        <w:b/>
        <w:bCs/>
        <w:sz w:val="22"/>
        <w:u w:val="single"/>
      </w:rPr>
      <w:tab/>
    </w:r>
    <w:r>
      <w:rPr>
        <w:rFonts w:ascii="Arial" w:hAnsi="Arial" w:cs="Arial"/>
        <w:b/>
        <w:bCs/>
        <w:sz w:val="22"/>
      </w:rPr>
      <w:tab/>
    </w:r>
  </w:p>
  <w:p w14:paraId="2E557102" w14:textId="77777777" w:rsidR="00843AD9" w:rsidRDefault="00843AD9">
    <w:pPr>
      <w:pStyle w:val="Footer"/>
      <w:rPr>
        <w:rFonts w:ascii="Arial" w:hAnsi="Arial" w:cs="Arial"/>
        <w:b/>
        <w:bCs/>
      </w:rPr>
    </w:pPr>
    <w:r>
      <w:rPr>
        <w:rFonts w:ascii="Arial" w:hAnsi="Arial" w:cs="Arial"/>
        <w:b/>
        <w:bCs/>
        <w:sz w:val="22"/>
      </w:rPr>
      <w:tab/>
    </w:r>
    <w:r>
      <w:rPr>
        <w:rFonts w:ascii="Arial" w:hAnsi="Arial" w:cs="Arial"/>
        <w:b/>
        <w:bCs/>
        <w:sz w:val="22"/>
      </w:rPr>
      <w:tab/>
    </w:r>
    <w:r>
      <w:rPr>
        <w:rFonts w:ascii="Arial" w:hAnsi="Arial" w:cs="Arial"/>
        <w:b/>
        <w:bCs/>
      </w:rPr>
      <w:t xml:space="preserve">Page </w:t>
    </w:r>
    <w:r>
      <w:rPr>
        <w:rStyle w:val="PageNumber"/>
        <w:rFonts w:ascii="Arial" w:hAnsi="Arial" w:cs="Arial"/>
        <w:b/>
        <w:bCs/>
      </w:rPr>
      <w:fldChar w:fldCharType="begin"/>
    </w:r>
    <w:r>
      <w:rPr>
        <w:rStyle w:val="PageNumber"/>
        <w:rFonts w:ascii="Arial" w:hAnsi="Arial" w:cs="Arial"/>
        <w:b/>
        <w:bCs/>
      </w:rPr>
      <w:instrText xml:space="preserve"> PAGE </w:instrText>
    </w:r>
    <w:r>
      <w:rPr>
        <w:rStyle w:val="PageNumber"/>
        <w:rFonts w:ascii="Arial" w:hAnsi="Arial" w:cs="Arial"/>
        <w:b/>
        <w:bCs/>
      </w:rPr>
      <w:fldChar w:fldCharType="separate"/>
    </w:r>
    <w:r w:rsidR="009957D1">
      <w:rPr>
        <w:rStyle w:val="PageNumber"/>
        <w:rFonts w:ascii="Arial" w:hAnsi="Arial" w:cs="Arial"/>
        <w:b/>
        <w:bCs/>
        <w:noProof/>
      </w:rPr>
      <w:t>3</w:t>
    </w:r>
    <w:r>
      <w:rPr>
        <w:rStyle w:val="PageNumber"/>
        <w:rFonts w:ascii="Arial" w:hAnsi="Arial" w:cs="Arial"/>
        <w:b/>
        <w:bCs/>
      </w:rPr>
      <w:fldChar w:fldCharType="end"/>
    </w:r>
    <w:r>
      <w:rPr>
        <w:rStyle w:val="PageNumber"/>
        <w:rFonts w:ascii="Arial" w:hAnsi="Arial" w:cs="Arial"/>
        <w:b/>
        <w:bCs/>
      </w:rPr>
      <w:t xml:space="preserve"> of </w:t>
    </w:r>
    <w:r>
      <w:rPr>
        <w:rStyle w:val="PageNumber"/>
        <w:rFonts w:ascii="Arial" w:hAnsi="Arial" w:cs="Arial"/>
        <w:b/>
        <w:bCs/>
      </w:rPr>
      <w:fldChar w:fldCharType="begin"/>
    </w:r>
    <w:r>
      <w:rPr>
        <w:rStyle w:val="PageNumber"/>
        <w:rFonts w:ascii="Arial" w:hAnsi="Arial" w:cs="Arial"/>
        <w:b/>
        <w:bCs/>
      </w:rPr>
      <w:instrText xml:space="preserve"> NUMPAGES </w:instrText>
    </w:r>
    <w:r>
      <w:rPr>
        <w:rStyle w:val="PageNumber"/>
        <w:rFonts w:ascii="Arial" w:hAnsi="Arial" w:cs="Arial"/>
        <w:b/>
        <w:bCs/>
      </w:rPr>
      <w:fldChar w:fldCharType="separate"/>
    </w:r>
    <w:r w:rsidR="009957D1">
      <w:rPr>
        <w:rStyle w:val="PageNumber"/>
        <w:rFonts w:ascii="Arial" w:hAnsi="Arial" w:cs="Arial"/>
        <w:b/>
        <w:bCs/>
        <w:noProof/>
      </w:rPr>
      <w:t>3</w:t>
    </w:r>
    <w:r>
      <w:rPr>
        <w:rStyle w:val="PageNumbe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570F9" w14:textId="77777777" w:rsidR="00182269" w:rsidRDefault="00182269">
      <w:r>
        <w:separator/>
      </w:r>
    </w:p>
  </w:footnote>
  <w:footnote w:type="continuationSeparator" w:id="0">
    <w:p w14:paraId="2E5570FA" w14:textId="77777777" w:rsidR="00182269" w:rsidRDefault="0018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570FD" w14:textId="77777777" w:rsidR="00843AD9" w:rsidRDefault="00843AD9">
    <w:pPr>
      <w:pStyle w:val="Header"/>
      <w:rPr>
        <w:rFonts w:ascii="Arial" w:hAnsi="Arial" w:cs="Arial"/>
        <w:b/>
        <w:bCs/>
      </w:rPr>
    </w:pPr>
    <w:r>
      <w:rPr>
        <w:rFonts w:ascii="Arial" w:hAnsi="Arial" w:cs="Arial"/>
        <w:b/>
        <w:bCs/>
      </w:rPr>
      <w:t>The University of Texas System</w:t>
    </w:r>
  </w:p>
  <w:p w14:paraId="2E5570FE" w14:textId="77777777" w:rsidR="00843AD9" w:rsidRDefault="00843AD9">
    <w:pPr>
      <w:pStyle w:val="Header"/>
      <w:rPr>
        <w:rFonts w:ascii="Arial" w:hAnsi="Arial" w:cs="Arial"/>
        <w:b/>
        <w:bCs/>
        <w:u w:val="single"/>
      </w:rPr>
    </w:pPr>
    <w:r>
      <w:rPr>
        <w:rFonts w:ascii="Arial" w:hAnsi="Arial" w:cs="Arial"/>
        <w:b/>
        <w:bCs/>
        <w:u w:val="single"/>
      </w:rPr>
      <w:t>Rules and Regulations of the Board of Regents</w:t>
    </w:r>
    <w:r>
      <w:rPr>
        <w:rFonts w:ascii="Arial" w:hAnsi="Arial" w:cs="Arial"/>
        <w:b/>
        <w:bCs/>
        <w:u w:val="single"/>
      </w:rPr>
      <w:tab/>
      <w:t xml:space="preserve">Rule: </w:t>
    </w:r>
    <w:r w:rsidR="00C608A9">
      <w:rPr>
        <w:rFonts w:ascii="Arial" w:hAnsi="Arial" w:cs="Arial"/>
        <w:b/>
        <w:bCs/>
        <w:u w:val="single"/>
      </w:rPr>
      <w:t>109</w:t>
    </w:r>
    <w:r w:rsidR="007C6F33">
      <w:rPr>
        <w:rFonts w:ascii="Arial" w:hAnsi="Arial" w:cs="Arial"/>
        <w:b/>
        <w:bCs/>
        <w:u w:val="single"/>
      </w:rPr>
      <w:t>01</w:t>
    </w:r>
  </w:p>
  <w:p w14:paraId="2E5570FF" w14:textId="77777777" w:rsidR="00843AD9" w:rsidRDefault="00843AD9">
    <w:pPr>
      <w:pStyle w:val="Header"/>
      <w:rPr>
        <w:rFonts w:ascii="Arial" w:hAnsi="Arial" w:cs="Arial"/>
        <w:b/>
        <w:bCs/>
        <w:u w:val="single"/>
      </w:rPr>
    </w:pPr>
  </w:p>
  <w:p w14:paraId="2E557100" w14:textId="77777777" w:rsidR="00843AD9" w:rsidRDefault="00843AD9">
    <w:pPr>
      <w:pStyle w:val="Header"/>
      <w:rPr>
        <w:rFonts w:ascii="Arial" w:hAnsi="Arial" w:cs="Arial"/>
        <w:b/>
        <w:b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10F47"/>
    <w:multiLevelType w:val="hybridMultilevel"/>
    <w:tmpl w:val="7CA2DB5C"/>
    <w:lvl w:ilvl="0" w:tplc="6824C2D8">
      <w:start w:val="4"/>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nsid w:val="28A33D70"/>
    <w:multiLevelType w:val="hybridMultilevel"/>
    <w:tmpl w:val="6D664D18"/>
    <w:lvl w:ilvl="0" w:tplc="80C68C0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2">
    <w:nsid w:val="3AF041CF"/>
    <w:multiLevelType w:val="hybridMultilevel"/>
    <w:tmpl w:val="EB84C94A"/>
    <w:lvl w:ilvl="0" w:tplc="80C68C08">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Marlett" w:hAnsi="Marlett"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Marlett" w:hAnsi="Marlett"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Marlett" w:hAnsi="Marlett" w:hint="default"/>
      </w:rPr>
    </w:lvl>
  </w:abstractNum>
  <w:abstractNum w:abstractNumId="3">
    <w:nsid w:val="40D16467"/>
    <w:multiLevelType w:val="hybridMultilevel"/>
    <w:tmpl w:val="2B466E02"/>
    <w:lvl w:ilvl="0" w:tplc="973C7EC8">
      <w:start w:val="1"/>
      <w:numFmt w:val="decimal"/>
      <w:lvlText w:val="%1."/>
      <w:lvlJc w:val="left"/>
      <w:pPr>
        <w:tabs>
          <w:tab w:val="num" w:pos="1584"/>
        </w:tabs>
        <w:ind w:left="1584" w:hanging="50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573581F"/>
    <w:multiLevelType w:val="hybridMultilevel"/>
    <w:tmpl w:val="CA98A52E"/>
    <w:lvl w:ilvl="0" w:tplc="80C68C0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5">
    <w:nsid w:val="6B3926ED"/>
    <w:multiLevelType w:val="hybridMultilevel"/>
    <w:tmpl w:val="0B0623D2"/>
    <w:lvl w:ilvl="0" w:tplc="4A2E5144">
      <w:start w:val="4"/>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69"/>
    <w:rsid w:val="000414B6"/>
    <w:rsid w:val="0004494C"/>
    <w:rsid w:val="000458E0"/>
    <w:rsid w:val="00083E88"/>
    <w:rsid w:val="000927EF"/>
    <w:rsid w:val="000A54AE"/>
    <w:rsid w:val="000E35CF"/>
    <w:rsid w:val="001076D1"/>
    <w:rsid w:val="001109B1"/>
    <w:rsid w:val="0016729A"/>
    <w:rsid w:val="001678C0"/>
    <w:rsid w:val="00182269"/>
    <w:rsid w:val="00190D88"/>
    <w:rsid w:val="00193D2F"/>
    <w:rsid w:val="00196F33"/>
    <w:rsid w:val="001C258C"/>
    <w:rsid w:val="001D6E78"/>
    <w:rsid w:val="001E3250"/>
    <w:rsid w:val="001E4032"/>
    <w:rsid w:val="001F1849"/>
    <w:rsid w:val="001F7415"/>
    <w:rsid w:val="002153E5"/>
    <w:rsid w:val="00225516"/>
    <w:rsid w:val="0025148B"/>
    <w:rsid w:val="00282F55"/>
    <w:rsid w:val="003055D2"/>
    <w:rsid w:val="00327C1D"/>
    <w:rsid w:val="003832F1"/>
    <w:rsid w:val="003D5CB5"/>
    <w:rsid w:val="00455C73"/>
    <w:rsid w:val="0045680A"/>
    <w:rsid w:val="004F439E"/>
    <w:rsid w:val="005031B7"/>
    <w:rsid w:val="00511804"/>
    <w:rsid w:val="00552C82"/>
    <w:rsid w:val="00555AAC"/>
    <w:rsid w:val="00585DE7"/>
    <w:rsid w:val="005C4979"/>
    <w:rsid w:val="005D763E"/>
    <w:rsid w:val="005F28DE"/>
    <w:rsid w:val="005F490D"/>
    <w:rsid w:val="00614F69"/>
    <w:rsid w:val="006557E3"/>
    <w:rsid w:val="00665005"/>
    <w:rsid w:val="006B60DA"/>
    <w:rsid w:val="006D19AA"/>
    <w:rsid w:val="006E771E"/>
    <w:rsid w:val="00702D3E"/>
    <w:rsid w:val="00707614"/>
    <w:rsid w:val="00713B51"/>
    <w:rsid w:val="0073460E"/>
    <w:rsid w:val="0074534B"/>
    <w:rsid w:val="0076342F"/>
    <w:rsid w:val="00780269"/>
    <w:rsid w:val="007C6F33"/>
    <w:rsid w:val="007D67AC"/>
    <w:rsid w:val="00843AD9"/>
    <w:rsid w:val="00856840"/>
    <w:rsid w:val="008742EB"/>
    <w:rsid w:val="00875CD6"/>
    <w:rsid w:val="00890069"/>
    <w:rsid w:val="008D7B96"/>
    <w:rsid w:val="008E04BE"/>
    <w:rsid w:val="008F2BB4"/>
    <w:rsid w:val="008F40F9"/>
    <w:rsid w:val="009135B2"/>
    <w:rsid w:val="00924651"/>
    <w:rsid w:val="00981E2E"/>
    <w:rsid w:val="009957D1"/>
    <w:rsid w:val="00996E79"/>
    <w:rsid w:val="009F58BB"/>
    <w:rsid w:val="00A0139A"/>
    <w:rsid w:val="00A0177D"/>
    <w:rsid w:val="00A14AFF"/>
    <w:rsid w:val="00A217D6"/>
    <w:rsid w:val="00A33B4C"/>
    <w:rsid w:val="00A64735"/>
    <w:rsid w:val="00A83ACF"/>
    <w:rsid w:val="00A83F36"/>
    <w:rsid w:val="00B02512"/>
    <w:rsid w:val="00B110DE"/>
    <w:rsid w:val="00B322F6"/>
    <w:rsid w:val="00B54216"/>
    <w:rsid w:val="00BA3AD5"/>
    <w:rsid w:val="00BB2B79"/>
    <w:rsid w:val="00BF0289"/>
    <w:rsid w:val="00BF35FE"/>
    <w:rsid w:val="00C04D81"/>
    <w:rsid w:val="00C33615"/>
    <w:rsid w:val="00C378A9"/>
    <w:rsid w:val="00C608A9"/>
    <w:rsid w:val="00C9171B"/>
    <w:rsid w:val="00C94156"/>
    <w:rsid w:val="00CA1834"/>
    <w:rsid w:val="00CE07D2"/>
    <w:rsid w:val="00CF4BDA"/>
    <w:rsid w:val="00CF511C"/>
    <w:rsid w:val="00D00540"/>
    <w:rsid w:val="00D35C0C"/>
    <w:rsid w:val="00D44112"/>
    <w:rsid w:val="00D62D81"/>
    <w:rsid w:val="00DA19BE"/>
    <w:rsid w:val="00DA50D3"/>
    <w:rsid w:val="00DC779B"/>
    <w:rsid w:val="00DE006E"/>
    <w:rsid w:val="00DE61F0"/>
    <w:rsid w:val="00DF2286"/>
    <w:rsid w:val="00E11038"/>
    <w:rsid w:val="00E1591B"/>
    <w:rsid w:val="00E328D7"/>
    <w:rsid w:val="00E41E37"/>
    <w:rsid w:val="00E725DB"/>
    <w:rsid w:val="00E93D93"/>
    <w:rsid w:val="00E94782"/>
    <w:rsid w:val="00EB5A93"/>
    <w:rsid w:val="00EE337F"/>
    <w:rsid w:val="00EE4BAC"/>
    <w:rsid w:val="00F1320D"/>
    <w:rsid w:val="00F267B0"/>
    <w:rsid w:val="00F77E55"/>
    <w:rsid w:val="00FA529C"/>
    <w:rsid w:val="00FC7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55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ind w:left="720"/>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tem">
    <w:name w:val="Item"/>
    <w:basedOn w:val="Normal"/>
    <w:pPr>
      <w:ind w:left="4320" w:hanging="1080"/>
    </w:pPr>
    <w:rPr>
      <w:rFonts w:ascii="Arial" w:hAnsi="Arial"/>
      <w:szCs w:val="20"/>
    </w:rPr>
  </w:style>
  <w:style w:type="paragraph" w:customStyle="1" w:styleId="SubsectionText">
    <w:name w:val="Subsection Text"/>
    <w:basedOn w:val="Normal"/>
    <w:link w:val="SubsectionTextChar"/>
    <w:pPr>
      <w:ind w:left="2160"/>
    </w:pPr>
    <w:rPr>
      <w:rFonts w:ascii="Arial" w:hAnsi="Arial"/>
      <w:szCs w:val="20"/>
    </w:rPr>
  </w:style>
  <w:style w:type="character" w:styleId="Hyperlink">
    <w:name w:val="Hyperlink"/>
    <w:rPr>
      <w:color w:val="0000FF"/>
      <w:u w:val="single"/>
    </w:rPr>
  </w:style>
  <w:style w:type="character" w:customStyle="1" w:styleId="SectionTitle">
    <w:name w:val="Section Title"/>
    <w:autoRedefine/>
    <w:rPr>
      <w:u w:val="single"/>
    </w:rPr>
  </w:style>
  <w:style w:type="paragraph" w:customStyle="1" w:styleId="Subdivision">
    <w:name w:val="Subdivision"/>
    <w:basedOn w:val="SubsectionText"/>
    <w:pPr>
      <w:tabs>
        <w:tab w:val="left" w:pos="3240"/>
      </w:tabs>
      <w:ind w:left="3240" w:hanging="1080"/>
    </w:pPr>
  </w:style>
  <w:style w:type="paragraph" w:customStyle="1" w:styleId="SubdivisionText">
    <w:name w:val="Subdivision Text"/>
    <w:basedOn w:val="SubsectionText"/>
    <w:pPr>
      <w:tabs>
        <w:tab w:val="left" w:pos="4320"/>
      </w:tabs>
      <w:ind w:left="3240"/>
    </w:pPr>
  </w:style>
  <w:style w:type="paragraph" w:customStyle="1" w:styleId="SectionText">
    <w:name w:val="Section Text"/>
    <w:basedOn w:val="Normal"/>
    <w:pPr>
      <w:ind w:left="1440"/>
    </w:pPr>
    <w:rPr>
      <w:rFonts w:ascii="Arial" w:hAnsi="Arial"/>
      <w:szCs w:val="20"/>
    </w:rPr>
  </w:style>
  <w:style w:type="character" w:styleId="FollowedHyperlink">
    <w:name w:val="FollowedHyperlink"/>
    <w:rPr>
      <w:color w:val="800080"/>
      <w:u w:val="single"/>
    </w:rPr>
  </w:style>
  <w:style w:type="paragraph" w:styleId="BalloonText">
    <w:name w:val="Balloon Text"/>
    <w:basedOn w:val="Normal"/>
    <w:semiHidden/>
    <w:rsid w:val="00890069"/>
    <w:rPr>
      <w:rFonts w:ascii="Tahoma" w:hAnsi="Tahoma" w:cs="Tahoma"/>
      <w:sz w:val="16"/>
      <w:szCs w:val="16"/>
    </w:rPr>
  </w:style>
  <w:style w:type="character" w:customStyle="1" w:styleId="SubsectionTextChar">
    <w:name w:val="Subsection Text Char"/>
    <w:link w:val="SubsectionText"/>
    <w:rsid w:val="00CA1834"/>
    <w:rPr>
      <w:rFonts w:ascii="Arial" w:hAnsi="Arial"/>
      <w:sz w:val="24"/>
    </w:rPr>
  </w:style>
  <w:style w:type="character" w:customStyle="1" w:styleId="HeaderChar">
    <w:name w:val="Header Char"/>
    <w:link w:val="Header"/>
    <w:rsid w:val="00CA18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ind w:left="720"/>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Item">
    <w:name w:val="Item"/>
    <w:basedOn w:val="Normal"/>
    <w:pPr>
      <w:ind w:left="4320" w:hanging="1080"/>
    </w:pPr>
    <w:rPr>
      <w:rFonts w:ascii="Arial" w:hAnsi="Arial"/>
      <w:szCs w:val="20"/>
    </w:rPr>
  </w:style>
  <w:style w:type="paragraph" w:customStyle="1" w:styleId="SubsectionText">
    <w:name w:val="Subsection Text"/>
    <w:basedOn w:val="Normal"/>
    <w:link w:val="SubsectionTextChar"/>
    <w:pPr>
      <w:ind w:left="2160"/>
    </w:pPr>
    <w:rPr>
      <w:rFonts w:ascii="Arial" w:hAnsi="Arial"/>
      <w:szCs w:val="20"/>
    </w:rPr>
  </w:style>
  <w:style w:type="character" w:styleId="Hyperlink">
    <w:name w:val="Hyperlink"/>
    <w:rPr>
      <w:color w:val="0000FF"/>
      <w:u w:val="single"/>
    </w:rPr>
  </w:style>
  <w:style w:type="character" w:customStyle="1" w:styleId="SectionTitle">
    <w:name w:val="Section Title"/>
    <w:autoRedefine/>
    <w:rPr>
      <w:u w:val="single"/>
    </w:rPr>
  </w:style>
  <w:style w:type="paragraph" w:customStyle="1" w:styleId="Subdivision">
    <w:name w:val="Subdivision"/>
    <w:basedOn w:val="SubsectionText"/>
    <w:pPr>
      <w:tabs>
        <w:tab w:val="left" w:pos="3240"/>
      </w:tabs>
      <w:ind w:left="3240" w:hanging="1080"/>
    </w:pPr>
  </w:style>
  <w:style w:type="paragraph" w:customStyle="1" w:styleId="SubdivisionText">
    <w:name w:val="Subdivision Text"/>
    <w:basedOn w:val="SubsectionText"/>
    <w:pPr>
      <w:tabs>
        <w:tab w:val="left" w:pos="4320"/>
      </w:tabs>
      <w:ind w:left="3240"/>
    </w:pPr>
  </w:style>
  <w:style w:type="paragraph" w:customStyle="1" w:styleId="SectionText">
    <w:name w:val="Section Text"/>
    <w:basedOn w:val="Normal"/>
    <w:pPr>
      <w:ind w:left="1440"/>
    </w:pPr>
    <w:rPr>
      <w:rFonts w:ascii="Arial" w:hAnsi="Arial"/>
      <w:szCs w:val="20"/>
    </w:rPr>
  </w:style>
  <w:style w:type="character" w:styleId="FollowedHyperlink">
    <w:name w:val="FollowedHyperlink"/>
    <w:rPr>
      <w:color w:val="800080"/>
      <w:u w:val="single"/>
    </w:rPr>
  </w:style>
  <w:style w:type="paragraph" w:styleId="BalloonText">
    <w:name w:val="Balloon Text"/>
    <w:basedOn w:val="Normal"/>
    <w:semiHidden/>
    <w:rsid w:val="00890069"/>
    <w:rPr>
      <w:rFonts w:ascii="Tahoma" w:hAnsi="Tahoma" w:cs="Tahoma"/>
      <w:sz w:val="16"/>
      <w:szCs w:val="16"/>
    </w:rPr>
  </w:style>
  <w:style w:type="character" w:customStyle="1" w:styleId="SubsectionTextChar">
    <w:name w:val="Subsection Text Char"/>
    <w:link w:val="SubsectionText"/>
    <w:rsid w:val="00CA1834"/>
    <w:rPr>
      <w:rFonts w:ascii="Arial" w:hAnsi="Arial"/>
      <w:sz w:val="24"/>
    </w:rPr>
  </w:style>
  <w:style w:type="character" w:customStyle="1" w:styleId="HeaderChar">
    <w:name w:val="Header Char"/>
    <w:link w:val="Header"/>
    <w:rsid w:val="00CA1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tsystem.edu/documents/docs/policies-rules/ut-system-administration-standards-conduct-gui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bor@utsystem.edu" TargetMode="External"/><Relationship Id="rId2" Type="http://schemas.openxmlformats.org/officeDocument/2006/relationships/customXml" Target="../customXml/item2.xml"/><Relationship Id="rId16" Type="http://schemas.openxmlformats.org/officeDocument/2006/relationships/hyperlink" Target="http://www.utsystem.edu/board-of-regents/rules/10801-policy-transparency-accountability-and-access-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tsystem.edu/board-of-regents/rules-regulations/rules/30104-conflict-interest-conflict-commitment-and-outside-ac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tsystem.edu/board-of-regents/rules/30103-standards-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a3be547-8cf1-486b-8a27-bb82939ee649">HAH47WDUFTJF-425-202</_dlc_DocId>
    <_dlc_DocIdUrl xmlns="2a3be547-8cf1-486b-8a27-bb82939ee649">
      <Url>https://department.utsystem.edu/bor/office/RegentsRules/_layouts/DocIdRedir.aspx?ID=HAH47WDUFTJF-425-202</Url>
      <Description>HAH47WDUFTJF-425-202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C1CC770C68C734289D785FAB70790DF" ma:contentTypeVersion="0" ma:contentTypeDescription="Create a new document." ma:contentTypeScope="" ma:versionID="61906d8e042cdd86d6b2f64b49541a49">
  <xsd:schema xmlns:xsd="http://www.w3.org/2001/XMLSchema" xmlns:xs="http://www.w3.org/2001/XMLSchema" xmlns:p="http://schemas.microsoft.com/office/2006/metadata/properties" xmlns:ns2="2a3be547-8cf1-486b-8a27-bb82939ee649" targetNamespace="http://schemas.microsoft.com/office/2006/metadata/properties" ma:root="true" ma:fieldsID="879e3c20f450bcbf876bb967e4e4856f" ns2:_="">
    <xsd:import namespace="2a3be547-8cf1-486b-8a27-bb82939ee64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be547-8cf1-486b-8a27-bb82939ee6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or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B473B4-119A-40CB-9843-E3073CCDAD84}">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2a3be547-8cf1-486b-8a27-bb82939ee64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05964D-68F1-4C9C-B8D3-788105B1D9E8}">
  <ds:schemaRefs>
    <ds:schemaRef ds:uri="http://schemas.microsoft.com/sharepoint/v3/contenttype/forms"/>
  </ds:schemaRefs>
</ds:datastoreItem>
</file>

<file path=customXml/itemProps3.xml><?xml version="1.0" encoding="utf-8"?>
<ds:datastoreItem xmlns:ds="http://schemas.openxmlformats.org/officeDocument/2006/customXml" ds:itemID="{DE1738AE-4CEE-4849-909C-215329D52224}">
  <ds:schemaRefs>
    <ds:schemaRef ds:uri="http://schemas.microsoft.com/sharepoint/events"/>
  </ds:schemaRefs>
</ds:datastoreItem>
</file>

<file path=customXml/itemProps4.xml><?xml version="1.0" encoding="utf-8"?>
<ds:datastoreItem xmlns:ds="http://schemas.openxmlformats.org/officeDocument/2006/customXml" ds:itemID="{B0B32F7E-1835-4D86-A191-C3579F57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be547-8cf1-486b-8a27-bb82939ee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6750D5-A800-42EB-88E5-27A645D37F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444</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 T. System Values and Expectations, Regents' Rule 10901</vt:lpstr>
    </vt:vector>
  </TitlesOfParts>
  <Company>UT System Administration</Company>
  <LinksUpToDate>false</LinksUpToDate>
  <CharactersWithSpaces>3511</CharactersWithSpaces>
  <SharedDoc>false</SharedDoc>
  <HLinks>
    <vt:vector size="30" baseType="variant">
      <vt:variant>
        <vt:i4>2621460</vt:i4>
      </vt:variant>
      <vt:variant>
        <vt:i4>12</vt:i4>
      </vt:variant>
      <vt:variant>
        <vt:i4>0</vt:i4>
      </vt:variant>
      <vt:variant>
        <vt:i4>5</vt:i4>
      </vt:variant>
      <vt:variant>
        <vt:lpwstr>mailto:bor@utsystem.edu</vt:lpwstr>
      </vt:variant>
      <vt:variant>
        <vt:lpwstr/>
      </vt:variant>
      <vt:variant>
        <vt:i4>7798847</vt:i4>
      </vt:variant>
      <vt:variant>
        <vt:i4>9</vt:i4>
      </vt:variant>
      <vt:variant>
        <vt:i4>0</vt:i4>
      </vt:variant>
      <vt:variant>
        <vt:i4>5</vt:i4>
      </vt:variant>
      <vt:variant>
        <vt:lpwstr>http://www.utsystem.edu/board-of-regents/rules/10801-policy-transparency-accountability-and-access-information</vt:lpwstr>
      </vt:variant>
      <vt:variant>
        <vt:lpwstr/>
      </vt:variant>
      <vt:variant>
        <vt:i4>6094923</vt:i4>
      </vt:variant>
      <vt:variant>
        <vt:i4>6</vt:i4>
      </vt:variant>
      <vt:variant>
        <vt:i4>0</vt:i4>
      </vt:variant>
      <vt:variant>
        <vt:i4>5</vt:i4>
      </vt:variant>
      <vt:variant>
        <vt:lpwstr>http://www.utsystem.edu/board-of-regents/rules-regulations/rules/30104-conflict-interest-conflict-commitment-and-outside-act</vt:lpwstr>
      </vt:variant>
      <vt:variant>
        <vt:lpwstr/>
      </vt:variant>
      <vt:variant>
        <vt:i4>2556002</vt:i4>
      </vt:variant>
      <vt:variant>
        <vt:i4>3</vt:i4>
      </vt:variant>
      <vt:variant>
        <vt:i4>0</vt:i4>
      </vt:variant>
      <vt:variant>
        <vt:i4>5</vt:i4>
      </vt:variant>
      <vt:variant>
        <vt:lpwstr>http://www.utsystem.edu/board-of-regents/rules/30103-standards-conduct</vt:lpwstr>
      </vt:variant>
      <vt:variant>
        <vt:lpwstr/>
      </vt:variant>
      <vt:variant>
        <vt:i4>3407985</vt:i4>
      </vt:variant>
      <vt:variant>
        <vt:i4>0</vt:i4>
      </vt:variant>
      <vt:variant>
        <vt:i4>0</vt:i4>
      </vt:variant>
      <vt:variant>
        <vt:i4>5</vt:i4>
      </vt:variant>
      <vt:variant>
        <vt:lpwstr>http://www.utsystem.edu/documents/docs/policies-rules/ut-system-administration-standards-conduct-guide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U. T. System Values and Expectations</dc:title>
  <dc:creator>AMART</dc:creator>
  <cp:lastModifiedBy>Faulkner, Gay</cp:lastModifiedBy>
  <cp:revision>5</cp:revision>
  <cp:lastPrinted>2015-03-20T15:55:00Z</cp:lastPrinted>
  <dcterms:created xsi:type="dcterms:W3CDTF">2015-05-20T17:20:00Z</dcterms:created>
  <dcterms:modified xsi:type="dcterms:W3CDTF">2015-07-14T15:08:00Z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lc_DocId">
    <vt:lpwstr>HAH47WDUFTJF-152-7008</vt:lpwstr>
  </property>
  <property fmtid="{D5CDD505-2E9C-101B-9397-08002B2CF9AE}" pid="4" name="_dlc_DocIdItemGuid">
    <vt:lpwstr>c0123913-0bcd-4fe6-822c-f7247f9711dd</vt:lpwstr>
  </property>
  <property fmtid="{D5CDD505-2E9C-101B-9397-08002B2CF9AE}" pid="5" name="_dlc_DocIdUrl">
    <vt:lpwstr>https://department.utsystem.edu/bor/office/Meetings/_layouts/DocIdRedir.aspx?ID=HAH47WDUFTJF-152-7008, HAH47WDUFTJF-152-7008</vt:lpwstr>
  </property>
  <property fmtid="{D5CDD505-2E9C-101B-9397-08002B2CF9AE}" pid="6" name="ContentTypeId">
    <vt:lpwstr>0x010100DC1CC770C68C734289D785FAB70790DF</vt:lpwstr>
  </property>
</Properties>
</file>