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05" w:rsidRDefault="003706F4" w:rsidP="00DA0B88">
      <w:pPr>
        <w:jc w:val="center"/>
        <w:outlineLvl w:val="0"/>
        <w:rPr>
          <w:b/>
        </w:rPr>
      </w:pPr>
      <w:r w:rsidRPr="003706F4">
        <w:rPr>
          <w:b/>
        </w:rPr>
        <w:t>Model Policy</w:t>
      </w:r>
    </w:p>
    <w:p w:rsidR="00802E21" w:rsidRDefault="00802E21" w:rsidP="00802E21">
      <w:pPr>
        <w:ind w:left="2160"/>
        <w:outlineLvl w:val="0"/>
        <w:rPr>
          <w:sz w:val="22"/>
          <w:szCs w:val="22"/>
        </w:rPr>
      </w:pPr>
    </w:p>
    <w:p w:rsidR="00802E21" w:rsidRPr="00DA0B88" w:rsidRDefault="00802E21" w:rsidP="00802E21">
      <w:pPr>
        <w:ind w:left="2160"/>
        <w:outlineLvl w:val="0"/>
        <w:rPr>
          <w:sz w:val="22"/>
          <w:szCs w:val="22"/>
        </w:rPr>
      </w:pPr>
      <w:r w:rsidRPr="00DA0B88">
        <w:rPr>
          <w:sz w:val="22"/>
          <w:szCs w:val="22"/>
        </w:rPr>
        <w:t>Issued by:</w:t>
      </w:r>
      <w:r w:rsidRPr="00DA0B88">
        <w:rPr>
          <w:sz w:val="22"/>
          <w:szCs w:val="22"/>
        </w:rPr>
        <w:tab/>
        <w:t xml:space="preserve">Office of </w:t>
      </w:r>
      <w:smartTag w:uri="urn:schemas-microsoft-com:office:smarttags" w:element="place">
        <w:smartTag w:uri="urn:schemas-microsoft-com:office:smarttags" w:element="City">
          <w:r w:rsidRPr="00DA0B88">
            <w:rPr>
              <w:sz w:val="22"/>
              <w:szCs w:val="22"/>
            </w:rPr>
            <w:t>General</w:t>
          </w:r>
        </w:smartTag>
        <w:r w:rsidRPr="00DA0B88">
          <w:rPr>
            <w:sz w:val="22"/>
            <w:szCs w:val="22"/>
          </w:rPr>
          <w:t xml:space="preserve"> </w:t>
        </w:r>
        <w:smartTag w:uri="urn:schemas-microsoft-com:office:smarttags" w:element="State">
          <w:r w:rsidRPr="00DA0B88">
            <w:rPr>
              <w:sz w:val="22"/>
              <w:szCs w:val="22"/>
            </w:rPr>
            <w:t>Counsel</w:t>
          </w:r>
        </w:smartTag>
        <w:r w:rsidRPr="00DA0B88">
          <w:rPr>
            <w:sz w:val="22"/>
            <w:szCs w:val="22"/>
          </w:rPr>
          <w:t xml:space="preserve">, </w:t>
        </w:r>
        <w:smartTag w:uri="urn:schemas-microsoft-com:office:smarttags" w:element="State">
          <w:r w:rsidRPr="00DA0B88">
            <w:rPr>
              <w:sz w:val="22"/>
              <w:szCs w:val="22"/>
            </w:rPr>
            <w:t>UT</w:t>
          </w:r>
        </w:smartTag>
      </w:smartTag>
      <w:r w:rsidRPr="00DA0B88">
        <w:rPr>
          <w:sz w:val="22"/>
          <w:szCs w:val="22"/>
        </w:rPr>
        <w:t xml:space="preserve"> System</w:t>
      </w:r>
    </w:p>
    <w:p w:rsidR="00802E21" w:rsidRPr="00DA0B88" w:rsidRDefault="00802E21" w:rsidP="00802E21">
      <w:pPr>
        <w:ind w:left="2160"/>
        <w:outlineLvl w:val="0"/>
        <w:rPr>
          <w:sz w:val="22"/>
          <w:szCs w:val="22"/>
        </w:rPr>
      </w:pPr>
      <w:r w:rsidRPr="00DA0B88">
        <w:rPr>
          <w:sz w:val="22"/>
          <w:szCs w:val="22"/>
        </w:rPr>
        <w:tab/>
      </w:r>
      <w:r w:rsidRPr="00DA0B88">
        <w:rPr>
          <w:sz w:val="22"/>
          <w:szCs w:val="22"/>
        </w:rPr>
        <w:tab/>
      </w:r>
      <w:r w:rsidR="0063282D">
        <w:rPr>
          <w:sz w:val="22"/>
          <w:szCs w:val="22"/>
        </w:rPr>
        <w:t>February 21, 2012</w:t>
      </w:r>
    </w:p>
    <w:p w:rsidR="003706F4" w:rsidRPr="003706F4" w:rsidRDefault="003706F4" w:rsidP="00802E21">
      <w:pPr>
        <w:outlineLvl w:val="0"/>
        <w:rPr>
          <w:b/>
        </w:rPr>
      </w:pPr>
    </w:p>
    <w:p w:rsidR="00CB4D05" w:rsidRPr="00436FB1" w:rsidRDefault="000374C9" w:rsidP="00DA0B88">
      <w:pPr>
        <w:jc w:val="center"/>
        <w:outlineLvl w:val="0"/>
        <w:rPr>
          <w:b/>
        </w:rPr>
      </w:pPr>
      <w:r>
        <w:rPr>
          <w:b/>
        </w:rPr>
        <w:t>CONSENSUAL RELATIONS</w:t>
      </w:r>
    </w:p>
    <w:p w:rsidR="00CB4D05" w:rsidRDefault="00CB4D05" w:rsidP="00DA0B88">
      <w:pPr>
        <w:outlineLvl w:val="0"/>
      </w:pPr>
    </w:p>
    <w:p w:rsidR="00436FB1" w:rsidRPr="003706F4" w:rsidRDefault="00436FB1" w:rsidP="00DA0B88">
      <w:pPr>
        <w:outlineLvl w:val="0"/>
      </w:pPr>
    </w:p>
    <w:p w:rsidR="00E100A7" w:rsidRPr="00DA0B88" w:rsidRDefault="00BF0ADD" w:rsidP="00802E21">
      <w:pPr>
        <w:ind w:left="720" w:hanging="720"/>
        <w:jc w:val="both"/>
        <w:outlineLvl w:val="0"/>
        <w:rPr>
          <w:b/>
        </w:rPr>
      </w:pPr>
      <w:r w:rsidRPr="00DA0B88">
        <w:rPr>
          <w:b/>
        </w:rPr>
        <w:t>1</w:t>
      </w:r>
      <w:r w:rsidR="00CB4D05" w:rsidRPr="00DA0B88">
        <w:rPr>
          <w:b/>
        </w:rPr>
        <w:t>.</w:t>
      </w:r>
      <w:r w:rsidR="00CB4D05" w:rsidRPr="00DA0B88">
        <w:rPr>
          <w:b/>
        </w:rPr>
        <w:tab/>
      </w:r>
      <w:r w:rsidR="00E100A7" w:rsidRPr="00DA0B88">
        <w:rPr>
          <w:b/>
        </w:rPr>
        <w:t>Policy</w:t>
      </w:r>
      <w:r w:rsidR="00FA0727" w:rsidRPr="00DA0B88">
        <w:rPr>
          <w:b/>
        </w:rPr>
        <w:t>.</w:t>
      </w:r>
    </w:p>
    <w:p w:rsidR="00DA0B88" w:rsidRPr="003706F4" w:rsidRDefault="00DA0B88" w:rsidP="00802E21">
      <w:pPr>
        <w:ind w:left="720" w:hanging="720"/>
        <w:jc w:val="both"/>
        <w:outlineLvl w:val="0"/>
      </w:pPr>
    </w:p>
    <w:p w:rsidR="000374C9" w:rsidRDefault="00E100A7" w:rsidP="000374C9">
      <w:pPr>
        <w:ind w:left="720" w:hanging="720"/>
        <w:jc w:val="both"/>
        <w:outlineLvl w:val="0"/>
      </w:pPr>
      <w:r w:rsidRPr="003706F4">
        <w:tab/>
      </w:r>
      <w:r w:rsidR="000374C9">
        <w:rPr>
          <w:b/>
        </w:rPr>
        <w:t xml:space="preserve">[Option 1 – Prohibited, Conflict of Interest] </w:t>
      </w:r>
      <w:r w:rsidRPr="003706F4">
        <w:t xml:space="preserve">The University of Texas </w:t>
      </w:r>
      <w:r w:rsidR="00FF37FF" w:rsidRPr="00DA0B88">
        <w:rPr>
          <w:b/>
        </w:rPr>
        <w:t>[name of institution]</w:t>
      </w:r>
      <w:r w:rsidR="00DA0B88">
        <w:t xml:space="preserve"> </w:t>
      </w:r>
      <w:r w:rsidR="000374C9">
        <w:t xml:space="preserve">considers a consensual romantic and/or sexual relationship between a University employee with supervisory teaching, evaluation or advisory authority and an employee, student or student employee who is directly supervised, taught, </w:t>
      </w:r>
      <w:r w:rsidR="003B5A1A">
        <w:t>evaluated,</w:t>
      </w:r>
      <w:r w:rsidR="000374C9">
        <w:t xml:space="preserve"> or advised by such employees to be a prohibited conflict of interest. Such relationships must be immediately reported to the supervisor(s) of the person involved in the prohibited relationship and managed. </w:t>
      </w:r>
    </w:p>
    <w:p w:rsidR="000374C9" w:rsidRDefault="000374C9" w:rsidP="000374C9">
      <w:pPr>
        <w:ind w:left="720" w:hanging="720"/>
        <w:jc w:val="both"/>
        <w:outlineLvl w:val="0"/>
      </w:pPr>
    </w:p>
    <w:p w:rsidR="00E100A7" w:rsidRDefault="000374C9" w:rsidP="000374C9">
      <w:pPr>
        <w:ind w:left="720"/>
        <w:jc w:val="both"/>
        <w:outlineLvl w:val="0"/>
      </w:pPr>
      <w:r>
        <w:t>Complaints concerning consensual relationships by non-participating individuals will be treated as third-party sexual harassment or sexual misconduct complaints.</w:t>
      </w:r>
    </w:p>
    <w:p w:rsidR="000374C9" w:rsidRDefault="000374C9" w:rsidP="000374C9">
      <w:pPr>
        <w:ind w:left="720"/>
        <w:jc w:val="both"/>
        <w:outlineLvl w:val="0"/>
      </w:pPr>
    </w:p>
    <w:p w:rsidR="000374C9" w:rsidRDefault="000374C9" w:rsidP="000374C9">
      <w:pPr>
        <w:ind w:left="720"/>
        <w:jc w:val="both"/>
        <w:outlineLvl w:val="0"/>
      </w:pPr>
      <w:r>
        <w:rPr>
          <w:b/>
        </w:rPr>
        <w:t>[OR]</w:t>
      </w:r>
    </w:p>
    <w:p w:rsidR="000374C9" w:rsidRDefault="000374C9" w:rsidP="000374C9">
      <w:pPr>
        <w:ind w:left="720"/>
        <w:jc w:val="both"/>
        <w:outlineLvl w:val="0"/>
      </w:pPr>
    </w:p>
    <w:p w:rsidR="000374C9" w:rsidRDefault="000374C9" w:rsidP="000374C9">
      <w:pPr>
        <w:ind w:left="720"/>
        <w:jc w:val="both"/>
        <w:outlineLvl w:val="0"/>
      </w:pPr>
      <w:r>
        <w:rPr>
          <w:b/>
        </w:rPr>
        <w:t>[Option 2 – Prohibited]</w:t>
      </w:r>
      <w:r>
        <w:t xml:space="preserve"> It is the policy of </w:t>
      </w:r>
      <w:r w:rsidRPr="003706F4">
        <w:t xml:space="preserve">The University of Texas </w:t>
      </w:r>
      <w:r w:rsidRPr="00DA0B88">
        <w:rPr>
          <w:b/>
        </w:rPr>
        <w:t>[name of institution]</w:t>
      </w:r>
      <w:r>
        <w:t xml:space="preserve"> that the following romantic or sexual relationships are prohibited:</w:t>
      </w:r>
    </w:p>
    <w:p w:rsidR="000374C9" w:rsidRDefault="000374C9" w:rsidP="000374C9">
      <w:pPr>
        <w:ind w:left="720"/>
        <w:jc w:val="both"/>
        <w:outlineLvl w:val="0"/>
      </w:pPr>
    </w:p>
    <w:p w:rsidR="000374C9" w:rsidRDefault="000374C9" w:rsidP="000374C9">
      <w:pPr>
        <w:pStyle w:val="BodyTextIndent2"/>
        <w:numPr>
          <w:ilvl w:val="0"/>
          <w:numId w:val="5"/>
        </w:numPr>
        <w:tabs>
          <w:tab w:val="left" w:pos="-720"/>
          <w:tab w:val="left" w:pos="0"/>
          <w:tab w:val="left" w:pos="270"/>
        </w:tabs>
        <w:suppressAutoHyphens/>
        <w:ind w:left="1440"/>
        <w:jc w:val="both"/>
      </w:pPr>
      <w:r>
        <w:t xml:space="preserve">between a faculty member and a student who is enrolled in the faculty member’s course or who is otherwise under the supervision of the faculty member, or </w:t>
      </w:r>
    </w:p>
    <w:p w:rsidR="000374C9" w:rsidRDefault="000374C9" w:rsidP="000374C9">
      <w:pPr>
        <w:pStyle w:val="BodyTextIndent2"/>
        <w:numPr>
          <w:ilvl w:val="12"/>
          <w:numId w:val="0"/>
        </w:numPr>
        <w:tabs>
          <w:tab w:val="left" w:pos="270"/>
        </w:tabs>
        <w:ind w:left="720"/>
        <w:jc w:val="both"/>
      </w:pPr>
    </w:p>
    <w:p w:rsidR="000374C9" w:rsidRDefault="000374C9" w:rsidP="000374C9">
      <w:pPr>
        <w:numPr>
          <w:ilvl w:val="0"/>
          <w:numId w:val="5"/>
        </w:numPr>
        <w:tabs>
          <w:tab w:val="left" w:pos="-720"/>
          <w:tab w:val="left" w:pos="0"/>
          <w:tab w:val="left" w:pos="270"/>
        </w:tabs>
        <w:suppressAutoHyphens/>
        <w:ind w:left="1440"/>
        <w:jc w:val="both"/>
      </w:pPr>
      <w:r>
        <w:t>between a supervisor and a person under his or her supervision.</w:t>
      </w:r>
    </w:p>
    <w:p w:rsidR="000374C9" w:rsidRDefault="000374C9" w:rsidP="000374C9">
      <w:pPr>
        <w:ind w:left="720"/>
        <w:jc w:val="both"/>
        <w:outlineLvl w:val="0"/>
      </w:pPr>
    </w:p>
    <w:p w:rsidR="000374C9" w:rsidRDefault="000374C9" w:rsidP="000374C9">
      <w:pPr>
        <w:ind w:left="720"/>
        <w:jc w:val="both"/>
        <w:outlineLvl w:val="0"/>
      </w:pPr>
      <w:r w:rsidRPr="000374C9">
        <w:t>This policy is not intended to discourage the interaction of faculty and students, and supervisors and employees where it is appropriate and ethical; however, it is intended to clarify that romantic or sexual relationships often create situations that lead to sexual harassment, conflicts of interest, favoritism, and low morale.  Therefore, such relationships are prohibited and subject to disciplinary action.</w:t>
      </w:r>
    </w:p>
    <w:p w:rsidR="000374C9" w:rsidRDefault="000374C9" w:rsidP="000374C9">
      <w:pPr>
        <w:ind w:left="720"/>
        <w:jc w:val="both"/>
        <w:outlineLvl w:val="0"/>
      </w:pPr>
    </w:p>
    <w:p w:rsidR="000374C9" w:rsidRDefault="000374C9" w:rsidP="000374C9">
      <w:pPr>
        <w:ind w:left="720"/>
        <w:jc w:val="both"/>
        <w:outlineLvl w:val="0"/>
      </w:pPr>
      <w:r>
        <w:t>Complaints concerning consensual relationships by non-participating individuals will be treated as third-party sexual harassment or sexual misconduct complaints.</w:t>
      </w:r>
    </w:p>
    <w:p w:rsidR="00E100A7" w:rsidRPr="003706F4" w:rsidRDefault="00E100A7" w:rsidP="00802E21">
      <w:pPr>
        <w:ind w:left="720" w:hanging="720"/>
        <w:jc w:val="both"/>
        <w:outlineLvl w:val="0"/>
      </w:pPr>
    </w:p>
    <w:p w:rsidR="00715567" w:rsidRPr="00DA0B88" w:rsidRDefault="00BF0ADD" w:rsidP="009B3BA8">
      <w:pPr>
        <w:tabs>
          <w:tab w:val="left" w:pos="720"/>
          <w:tab w:val="left" w:pos="1440"/>
          <w:tab w:val="left" w:pos="2160"/>
          <w:tab w:val="center" w:pos="4680"/>
        </w:tabs>
        <w:ind w:left="720" w:hanging="720"/>
        <w:jc w:val="both"/>
        <w:outlineLvl w:val="0"/>
        <w:rPr>
          <w:b/>
        </w:rPr>
      </w:pPr>
      <w:r w:rsidRPr="00DA0B88">
        <w:rPr>
          <w:b/>
        </w:rPr>
        <w:t>2</w:t>
      </w:r>
      <w:r w:rsidR="00E100A7" w:rsidRPr="00DA0B88">
        <w:rPr>
          <w:b/>
        </w:rPr>
        <w:t>.</w:t>
      </w:r>
      <w:r w:rsidR="00E100A7" w:rsidRPr="00DA0B88">
        <w:rPr>
          <w:b/>
        </w:rPr>
        <w:tab/>
      </w:r>
      <w:r w:rsidR="0039722F" w:rsidRPr="00DA0B88">
        <w:rPr>
          <w:b/>
        </w:rPr>
        <w:t>Applicability.</w:t>
      </w:r>
    </w:p>
    <w:p w:rsidR="00DA0B88" w:rsidRDefault="00DA0B88" w:rsidP="00802E21">
      <w:pPr>
        <w:ind w:left="720" w:hanging="720"/>
        <w:jc w:val="both"/>
        <w:outlineLvl w:val="0"/>
      </w:pPr>
    </w:p>
    <w:p w:rsidR="00E100A7" w:rsidRDefault="00715567" w:rsidP="00802E21">
      <w:pPr>
        <w:ind w:left="720" w:hanging="720"/>
        <w:jc w:val="both"/>
        <w:outlineLvl w:val="0"/>
      </w:pPr>
      <w:r w:rsidRPr="003706F4">
        <w:tab/>
      </w:r>
      <w:r w:rsidR="0039722F" w:rsidRPr="003706F4">
        <w:t>Th</w:t>
      </w:r>
      <w:r w:rsidR="00842D76">
        <w:t xml:space="preserve">is </w:t>
      </w:r>
      <w:r w:rsidR="0039722F" w:rsidRPr="003706F4">
        <w:t>polic</w:t>
      </w:r>
      <w:r w:rsidR="00842D76">
        <w:t xml:space="preserve">y </w:t>
      </w:r>
      <w:r w:rsidR="0039722F" w:rsidRPr="003706F4">
        <w:t>appli</w:t>
      </w:r>
      <w:r w:rsidR="00842D76">
        <w:t>es</w:t>
      </w:r>
      <w:r w:rsidR="0039722F" w:rsidRPr="003706F4">
        <w:t xml:space="preserve"> to </w:t>
      </w:r>
      <w:r w:rsidR="0063282D" w:rsidRPr="0063282D">
        <w:t xml:space="preserve">all University </w:t>
      </w:r>
      <w:r w:rsidR="000374C9">
        <w:t>administrators, faculty, and staff.</w:t>
      </w:r>
    </w:p>
    <w:p w:rsidR="00CD5676" w:rsidRPr="003706F4" w:rsidRDefault="00CD5676" w:rsidP="006B1EE3">
      <w:pPr>
        <w:jc w:val="both"/>
      </w:pPr>
    </w:p>
    <w:p w:rsidR="00310F47" w:rsidRPr="006B1EE3" w:rsidRDefault="000374C9" w:rsidP="000374C9">
      <w:pPr>
        <w:keepNext/>
        <w:jc w:val="both"/>
        <w:rPr>
          <w:b/>
        </w:rPr>
      </w:pPr>
      <w:r>
        <w:rPr>
          <w:b/>
        </w:rPr>
        <w:lastRenderedPageBreak/>
        <w:t>3</w:t>
      </w:r>
      <w:r w:rsidR="00310F47" w:rsidRPr="006B1EE3">
        <w:rPr>
          <w:b/>
        </w:rPr>
        <w:t>.</w:t>
      </w:r>
      <w:r w:rsidR="00CD5676" w:rsidRPr="006B1EE3">
        <w:rPr>
          <w:b/>
        </w:rPr>
        <w:tab/>
      </w:r>
      <w:r>
        <w:rPr>
          <w:b/>
        </w:rPr>
        <w:t>Reporting and Complaints Concerning Consensual Relations.</w:t>
      </w:r>
      <w:bookmarkStart w:id="0" w:name="_GoBack"/>
      <w:bookmarkEnd w:id="0"/>
    </w:p>
    <w:p w:rsidR="006B1EE3" w:rsidRDefault="006B1EE3" w:rsidP="000374C9">
      <w:pPr>
        <w:keepNext/>
        <w:jc w:val="both"/>
      </w:pPr>
    </w:p>
    <w:p w:rsidR="006B1EE3" w:rsidRDefault="000374C9" w:rsidP="000374C9">
      <w:pPr>
        <w:ind w:left="720"/>
        <w:jc w:val="both"/>
      </w:pPr>
      <w:r w:rsidRPr="000374C9">
        <w:t>Complaints about suspected violations of this policy should be reported to the supervisor(s) of the person involved in the prohibited relationship.</w:t>
      </w:r>
    </w:p>
    <w:p w:rsidR="006B1EE3" w:rsidRDefault="006B1EE3" w:rsidP="006B1EE3">
      <w:pPr>
        <w:jc w:val="both"/>
      </w:pPr>
    </w:p>
    <w:p w:rsidR="00F034E0" w:rsidRPr="00E27321" w:rsidRDefault="000374C9" w:rsidP="006B1EE3">
      <w:pPr>
        <w:jc w:val="both"/>
        <w:rPr>
          <w:b/>
        </w:rPr>
      </w:pPr>
      <w:r>
        <w:rPr>
          <w:b/>
        </w:rPr>
        <w:t>4</w:t>
      </w:r>
      <w:r w:rsidR="00F034E0" w:rsidRPr="00E27321">
        <w:rPr>
          <w:b/>
        </w:rPr>
        <w:t>.</w:t>
      </w:r>
      <w:r w:rsidR="00F034E0" w:rsidRPr="00E27321">
        <w:rPr>
          <w:b/>
        </w:rPr>
        <w:tab/>
      </w:r>
      <w:r w:rsidR="000450AE">
        <w:rPr>
          <w:b/>
        </w:rPr>
        <w:t>Related/Additional Conduct Violations</w:t>
      </w:r>
      <w:r w:rsidR="00E27321" w:rsidRPr="00E27321">
        <w:rPr>
          <w:b/>
        </w:rPr>
        <w:t>.</w:t>
      </w:r>
    </w:p>
    <w:p w:rsidR="00E27321" w:rsidRPr="003706F4" w:rsidRDefault="00E27321" w:rsidP="006B1EE3">
      <w:pPr>
        <w:jc w:val="both"/>
      </w:pPr>
    </w:p>
    <w:p w:rsidR="0039722F" w:rsidRDefault="000450AE" w:rsidP="000450AE">
      <w:pPr>
        <w:ind w:left="1440" w:hanging="720"/>
        <w:jc w:val="both"/>
      </w:pPr>
      <w:r>
        <w:t>5.1</w:t>
      </w:r>
      <w:r>
        <w:tab/>
      </w:r>
      <w:r w:rsidRPr="000450AE">
        <w:rPr>
          <w:u w:val="single"/>
        </w:rPr>
        <w:t>Retaliation</w:t>
      </w:r>
      <w:r w:rsidRPr="000450AE">
        <w:t xml:space="preserve">.  An administrator, faculty member, </w:t>
      </w:r>
      <w:r w:rsidR="00D05CED" w:rsidRPr="000450AE">
        <w:t>student,</w:t>
      </w:r>
      <w:r w:rsidRPr="000450AE">
        <w:t xml:space="preserve"> or employee who retaliates in any way against an individual who has brought a complaint pursuant to </w:t>
      </w:r>
      <w:r w:rsidR="000374C9">
        <w:t xml:space="preserve">a University </w:t>
      </w:r>
      <w:r w:rsidRPr="000450AE">
        <w:t>policy or against an individual who has participated in an investigation of such a complaint is subject to disciplinary action, including dismissal.</w:t>
      </w:r>
    </w:p>
    <w:p w:rsidR="000450AE" w:rsidRDefault="000450AE" w:rsidP="000450AE">
      <w:pPr>
        <w:ind w:left="1440" w:hanging="720"/>
        <w:jc w:val="both"/>
      </w:pPr>
    </w:p>
    <w:p w:rsidR="000450AE" w:rsidRPr="000450AE" w:rsidRDefault="000450AE" w:rsidP="000450AE">
      <w:pPr>
        <w:ind w:left="1440" w:hanging="720"/>
        <w:jc w:val="both"/>
      </w:pPr>
      <w:r>
        <w:t>5.2</w:t>
      </w:r>
      <w:r>
        <w:tab/>
      </w:r>
      <w:r>
        <w:rPr>
          <w:u w:val="single"/>
        </w:rPr>
        <w:t>False Complaints</w:t>
      </w:r>
      <w:r>
        <w:t xml:space="preserve">.  </w:t>
      </w:r>
      <w:r w:rsidRPr="000450AE">
        <w:t xml:space="preserve">Any person who knowingly and intentionally files a false complaint under </w:t>
      </w:r>
      <w:r w:rsidR="000374C9">
        <w:t>a</w:t>
      </w:r>
      <w:r w:rsidRPr="000450AE">
        <w:t xml:space="preserve"> University policy is subject to disciplinary action up to an</w:t>
      </w:r>
      <w:r w:rsidR="000374C9">
        <w:t>d including dismissal from the U</w:t>
      </w:r>
      <w:r w:rsidRPr="000450AE">
        <w:t>niversity.</w:t>
      </w:r>
    </w:p>
    <w:p w:rsidR="00B45FC2" w:rsidRDefault="00B45FC2" w:rsidP="00802E21">
      <w:pPr>
        <w:jc w:val="both"/>
      </w:pPr>
    </w:p>
    <w:p w:rsidR="0014086A" w:rsidRPr="00DA5330" w:rsidRDefault="0014086A" w:rsidP="0014086A">
      <w:pPr>
        <w:keepNext/>
        <w:jc w:val="both"/>
        <w:rPr>
          <w:b/>
        </w:rPr>
      </w:pPr>
      <w:r>
        <w:rPr>
          <w:b/>
        </w:rPr>
        <w:t>6.</w:t>
      </w:r>
      <w:r>
        <w:rPr>
          <w:b/>
        </w:rPr>
        <w:tab/>
      </w:r>
      <w:r w:rsidRPr="00DA5330">
        <w:rPr>
          <w:b/>
        </w:rPr>
        <w:t>Authority/Related Policies</w:t>
      </w:r>
      <w:r w:rsidR="003B5A1A">
        <w:rPr>
          <w:b/>
        </w:rPr>
        <w:t>.</w:t>
      </w:r>
    </w:p>
    <w:p w:rsidR="0014086A" w:rsidRPr="003D4578" w:rsidRDefault="0014086A" w:rsidP="0014086A">
      <w:pPr>
        <w:keepNext/>
        <w:jc w:val="both"/>
      </w:pPr>
    </w:p>
    <w:p w:rsidR="000450AE" w:rsidRDefault="00CA414C" w:rsidP="00CA414C">
      <w:pPr>
        <w:ind w:left="720"/>
        <w:jc w:val="both"/>
      </w:pPr>
      <w:r w:rsidRPr="00CA414C">
        <w:t>Sexual harassment is a form of sex discrimination under Title VII of the Civil Rights Act of 1964, Title IX of the Civil Rights Act of 1972, and the Texas Labor Code, and it is illegal, and actionable under civil and criminal law.</w:t>
      </w:r>
    </w:p>
    <w:p w:rsidR="00CA414C" w:rsidRDefault="00CA414C" w:rsidP="0014086A">
      <w:pPr>
        <w:ind w:firstLine="720"/>
        <w:jc w:val="both"/>
      </w:pPr>
    </w:p>
    <w:p w:rsidR="000374C9" w:rsidRPr="000374C9" w:rsidRDefault="000374C9" w:rsidP="0014086A">
      <w:pPr>
        <w:ind w:firstLine="720"/>
        <w:jc w:val="both"/>
        <w:rPr>
          <w:b/>
        </w:rPr>
      </w:pPr>
      <w:r>
        <w:rPr>
          <w:b/>
        </w:rPr>
        <w:t>[Conflict of Interest – link]</w:t>
      </w:r>
    </w:p>
    <w:p w:rsidR="000374C9" w:rsidRDefault="000374C9" w:rsidP="0014086A">
      <w:pPr>
        <w:ind w:firstLine="720"/>
        <w:jc w:val="both"/>
      </w:pPr>
    </w:p>
    <w:p w:rsidR="000450AE" w:rsidRPr="000450AE" w:rsidRDefault="000450AE" w:rsidP="003B5A1A">
      <w:pPr>
        <w:ind w:left="1440" w:hanging="720"/>
        <w:jc w:val="both"/>
      </w:pPr>
      <w:r>
        <w:t xml:space="preserve">Sexual Harassment Complaint, Investigation, and Grievance Procedures and Responsibilities </w:t>
      </w:r>
      <w:r>
        <w:rPr>
          <w:b/>
        </w:rPr>
        <w:t>[link]</w:t>
      </w:r>
    </w:p>
    <w:p w:rsidR="000450AE" w:rsidRDefault="000450AE" w:rsidP="000450AE">
      <w:pPr>
        <w:ind w:left="720"/>
        <w:jc w:val="both"/>
        <w:rPr>
          <w:b/>
        </w:rPr>
      </w:pPr>
      <w:r w:rsidRPr="000450AE">
        <w:t>Sexual H</w:t>
      </w:r>
      <w:r>
        <w:t xml:space="preserve">arassment by Faculty or Staff </w:t>
      </w:r>
      <w:r>
        <w:rPr>
          <w:b/>
        </w:rPr>
        <w:t>[link to policy]</w:t>
      </w:r>
    </w:p>
    <w:p w:rsidR="000450AE" w:rsidRDefault="000450AE" w:rsidP="000450AE">
      <w:pPr>
        <w:ind w:left="720"/>
        <w:jc w:val="both"/>
      </w:pPr>
      <w:r>
        <w:t xml:space="preserve">Faculty Disciplinary Procedures </w:t>
      </w:r>
      <w:r>
        <w:rPr>
          <w:b/>
        </w:rPr>
        <w:t>[link]</w:t>
      </w:r>
    </w:p>
    <w:p w:rsidR="000450AE" w:rsidRDefault="000450AE" w:rsidP="000374C9">
      <w:pPr>
        <w:ind w:left="720"/>
        <w:jc w:val="both"/>
      </w:pPr>
      <w:r>
        <w:t xml:space="preserve">Staff Disciplinary Procedures </w:t>
      </w:r>
      <w:r>
        <w:rPr>
          <w:b/>
        </w:rPr>
        <w:t>[link]</w:t>
      </w:r>
    </w:p>
    <w:sectPr w:rsidR="000450AE" w:rsidSect="009B3BA8">
      <w:headerReference w:type="even" r:id="rId8"/>
      <w:footerReference w:type="even" r:id="rId9"/>
      <w:foot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8A" w:rsidRDefault="001E3E8A">
      <w:r>
        <w:separator/>
      </w:r>
    </w:p>
  </w:endnote>
  <w:endnote w:type="continuationSeparator" w:id="0">
    <w:p w:rsidR="001E3E8A" w:rsidRDefault="001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1E3E8A"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0AF7">
      <w:rPr>
        <w:rStyle w:val="PageNumber"/>
        <w:noProof/>
      </w:rPr>
      <w:t>1</w:t>
    </w:r>
    <w:r>
      <w:rPr>
        <w:rStyle w:val="PageNumber"/>
      </w:rPr>
      <w:fldChar w:fldCharType="end"/>
    </w:r>
  </w:p>
  <w:p w:rsidR="001E3E8A" w:rsidRDefault="001E3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1E3E8A"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A1A">
      <w:rPr>
        <w:rStyle w:val="PageNumber"/>
        <w:noProof/>
      </w:rPr>
      <w:t>2</w:t>
    </w:r>
    <w:r>
      <w:rPr>
        <w:rStyle w:val="PageNumber"/>
      </w:rPr>
      <w:fldChar w:fldCharType="end"/>
    </w:r>
  </w:p>
  <w:p w:rsidR="001E3E8A" w:rsidRDefault="001E3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8A" w:rsidRDefault="001E3E8A">
      <w:r>
        <w:separator/>
      </w:r>
    </w:p>
  </w:footnote>
  <w:footnote w:type="continuationSeparator" w:id="0">
    <w:p w:rsidR="001E3E8A" w:rsidRDefault="001E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3B5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411C1"/>
    <w:multiLevelType w:val="multilevel"/>
    <w:tmpl w:val="AA96C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nsid w:val="12155EB8"/>
    <w:multiLevelType w:val="hybridMultilevel"/>
    <w:tmpl w:val="B882F5CC"/>
    <w:lvl w:ilvl="0" w:tplc="13C839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4ED7D99"/>
    <w:multiLevelType w:val="hybridMultilevel"/>
    <w:tmpl w:val="E410BF5A"/>
    <w:lvl w:ilvl="0" w:tplc="FF7CDD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302744A"/>
    <w:multiLevelType w:val="hybridMultilevel"/>
    <w:tmpl w:val="C634570E"/>
    <w:lvl w:ilvl="0" w:tplc="074E90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2F"/>
    <w:rsid w:val="00032DB7"/>
    <w:rsid w:val="000374C9"/>
    <w:rsid w:val="000450AE"/>
    <w:rsid w:val="00051AFC"/>
    <w:rsid w:val="00075E87"/>
    <w:rsid w:val="000D22CF"/>
    <w:rsid w:val="00110FE0"/>
    <w:rsid w:val="0014086A"/>
    <w:rsid w:val="001B3DF0"/>
    <w:rsid w:val="001E3E8A"/>
    <w:rsid w:val="001E4FE4"/>
    <w:rsid w:val="002473B3"/>
    <w:rsid w:val="00310F47"/>
    <w:rsid w:val="0033643E"/>
    <w:rsid w:val="0034114F"/>
    <w:rsid w:val="003706F4"/>
    <w:rsid w:val="0039722F"/>
    <w:rsid w:val="003B5A1A"/>
    <w:rsid w:val="00424FF6"/>
    <w:rsid w:val="00436FB1"/>
    <w:rsid w:val="00455D23"/>
    <w:rsid w:val="00467936"/>
    <w:rsid w:val="004A4685"/>
    <w:rsid w:val="004F101C"/>
    <w:rsid w:val="0052457F"/>
    <w:rsid w:val="00563BEB"/>
    <w:rsid w:val="005D2956"/>
    <w:rsid w:val="005E33C8"/>
    <w:rsid w:val="0063282D"/>
    <w:rsid w:val="00633B66"/>
    <w:rsid w:val="00663CD2"/>
    <w:rsid w:val="006B1EE3"/>
    <w:rsid w:val="006E3138"/>
    <w:rsid w:val="006E35E6"/>
    <w:rsid w:val="006F44BD"/>
    <w:rsid w:val="00715567"/>
    <w:rsid w:val="00746092"/>
    <w:rsid w:val="007B72E3"/>
    <w:rsid w:val="007C0B89"/>
    <w:rsid w:val="007D0799"/>
    <w:rsid w:val="007E6A64"/>
    <w:rsid w:val="00802E21"/>
    <w:rsid w:val="00805E14"/>
    <w:rsid w:val="00842D76"/>
    <w:rsid w:val="00854910"/>
    <w:rsid w:val="008C0CB3"/>
    <w:rsid w:val="008E52A1"/>
    <w:rsid w:val="0092290B"/>
    <w:rsid w:val="00930E90"/>
    <w:rsid w:val="00950307"/>
    <w:rsid w:val="009620F3"/>
    <w:rsid w:val="009852EE"/>
    <w:rsid w:val="009B3BA8"/>
    <w:rsid w:val="009D019D"/>
    <w:rsid w:val="009F183E"/>
    <w:rsid w:val="00A038CD"/>
    <w:rsid w:val="00B07FDB"/>
    <w:rsid w:val="00B300ED"/>
    <w:rsid w:val="00B33D9C"/>
    <w:rsid w:val="00B45FC2"/>
    <w:rsid w:val="00B95DD9"/>
    <w:rsid w:val="00BB0572"/>
    <w:rsid w:val="00BF0ADD"/>
    <w:rsid w:val="00C00B91"/>
    <w:rsid w:val="00C20925"/>
    <w:rsid w:val="00C34795"/>
    <w:rsid w:val="00C55062"/>
    <w:rsid w:val="00C70FF4"/>
    <w:rsid w:val="00C95FD7"/>
    <w:rsid w:val="00CA414C"/>
    <w:rsid w:val="00CB4D05"/>
    <w:rsid w:val="00CD525F"/>
    <w:rsid w:val="00CD5676"/>
    <w:rsid w:val="00CE6C82"/>
    <w:rsid w:val="00D05CED"/>
    <w:rsid w:val="00DA0B88"/>
    <w:rsid w:val="00DA4A97"/>
    <w:rsid w:val="00E100A7"/>
    <w:rsid w:val="00E27321"/>
    <w:rsid w:val="00E275BF"/>
    <w:rsid w:val="00E762E3"/>
    <w:rsid w:val="00F034E0"/>
    <w:rsid w:val="00F43EAD"/>
    <w:rsid w:val="00F73372"/>
    <w:rsid w:val="00F840E8"/>
    <w:rsid w:val="00F85E90"/>
    <w:rsid w:val="00F87AA0"/>
    <w:rsid w:val="00FA0727"/>
    <w:rsid w:val="00FA5D35"/>
    <w:rsid w:val="00FE0AF7"/>
    <w:rsid w:val="00FE0D16"/>
    <w:rsid w:val="00FF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2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39722F"/>
    <w:pPr>
      <w:ind w:left="4320" w:hanging="1080"/>
    </w:pPr>
    <w:rPr>
      <w:rFonts w:ascii="Arial" w:hAnsi="Arial"/>
      <w:szCs w:val="20"/>
    </w:rPr>
  </w:style>
  <w:style w:type="paragraph" w:styleId="BodyTextIndent">
    <w:name w:val="Body Text Indent"/>
    <w:basedOn w:val="Normal"/>
    <w:rsid w:val="0039722F"/>
    <w:pPr>
      <w:ind w:left="1800" w:hanging="1080"/>
    </w:pPr>
    <w:rPr>
      <w:rFonts w:ascii="Arial" w:hAnsi="Arial" w:cs="Arial"/>
    </w:rPr>
  </w:style>
  <w:style w:type="paragraph" w:styleId="BodyTextIndent2">
    <w:name w:val="Body Text Indent 2"/>
    <w:basedOn w:val="Normal"/>
    <w:rsid w:val="0039722F"/>
    <w:pPr>
      <w:ind w:left="2520" w:hanging="720"/>
    </w:pPr>
  </w:style>
  <w:style w:type="paragraph" w:styleId="BodyTextIndent3">
    <w:name w:val="Body Text Indent 3"/>
    <w:basedOn w:val="Normal"/>
    <w:rsid w:val="0039722F"/>
    <w:pPr>
      <w:ind w:left="2880" w:hanging="360"/>
    </w:pPr>
    <w:rPr>
      <w:rFonts w:ascii="Arial" w:hAnsi="Arial" w:cs="Arial"/>
    </w:rPr>
  </w:style>
  <w:style w:type="paragraph" w:styleId="DocumentMap">
    <w:name w:val="Document Map"/>
    <w:basedOn w:val="Normal"/>
    <w:semiHidden/>
    <w:rsid w:val="0039722F"/>
    <w:pPr>
      <w:shd w:val="clear" w:color="auto" w:fill="000080"/>
    </w:pPr>
    <w:rPr>
      <w:rFonts w:ascii="Tahoma" w:hAnsi="Tahoma" w:cs="Tahoma"/>
      <w:sz w:val="20"/>
      <w:szCs w:val="20"/>
    </w:rPr>
  </w:style>
  <w:style w:type="character" w:styleId="CommentReference">
    <w:name w:val="annotation reference"/>
    <w:semiHidden/>
    <w:rsid w:val="00B300ED"/>
    <w:rPr>
      <w:sz w:val="16"/>
      <w:szCs w:val="16"/>
    </w:rPr>
  </w:style>
  <w:style w:type="paragraph" w:styleId="CommentText">
    <w:name w:val="annotation text"/>
    <w:basedOn w:val="Normal"/>
    <w:semiHidden/>
    <w:rsid w:val="00B300ED"/>
    <w:rPr>
      <w:sz w:val="20"/>
      <w:szCs w:val="20"/>
    </w:rPr>
  </w:style>
  <w:style w:type="paragraph" w:styleId="CommentSubject">
    <w:name w:val="annotation subject"/>
    <w:basedOn w:val="CommentText"/>
    <w:next w:val="CommentText"/>
    <w:semiHidden/>
    <w:rsid w:val="00B300ED"/>
    <w:rPr>
      <w:b/>
      <w:bCs/>
    </w:rPr>
  </w:style>
  <w:style w:type="paragraph" w:styleId="BalloonText">
    <w:name w:val="Balloon Text"/>
    <w:basedOn w:val="Normal"/>
    <w:semiHidden/>
    <w:rsid w:val="00B300ED"/>
    <w:rPr>
      <w:rFonts w:ascii="Tahoma" w:hAnsi="Tahoma" w:cs="Tahoma"/>
      <w:sz w:val="16"/>
      <w:szCs w:val="16"/>
    </w:rPr>
  </w:style>
  <w:style w:type="paragraph" w:styleId="Header">
    <w:name w:val="header"/>
    <w:basedOn w:val="Normal"/>
    <w:rsid w:val="00B300ED"/>
    <w:pPr>
      <w:tabs>
        <w:tab w:val="center" w:pos="4320"/>
        <w:tab w:val="right" w:pos="8640"/>
      </w:tabs>
    </w:pPr>
  </w:style>
  <w:style w:type="paragraph" w:styleId="Footer">
    <w:name w:val="footer"/>
    <w:basedOn w:val="Normal"/>
    <w:link w:val="FooterChar"/>
    <w:uiPriority w:val="99"/>
    <w:rsid w:val="00B300ED"/>
    <w:pPr>
      <w:tabs>
        <w:tab w:val="center" w:pos="4320"/>
        <w:tab w:val="right" w:pos="8640"/>
      </w:tabs>
    </w:pPr>
  </w:style>
  <w:style w:type="character" w:styleId="PageNumber">
    <w:name w:val="page number"/>
    <w:basedOn w:val="DefaultParagraphFont"/>
    <w:rsid w:val="004F101C"/>
  </w:style>
  <w:style w:type="character" w:styleId="Hyperlink">
    <w:name w:val="Hyperlink"/>
    <w:rsid w:val="0014086A"/>
    <w:rPr>
      <w:color w:val="0000FF"/>
      <w:u w:val="single"/>
    </w:rPr>
  </w:style>
  <w:style w:type="paragraph" w:styleId="ListParagraph">
    <w:name w:val="List Paragraph"/>
    <w:basedOn w:val="Normal"/>
    <w:uiPriority w:val="34"/>
    <w:qFormat/>
    <w:rsid w:val="0063282D"/>
    <w:pPr>
      <w:ind w:left="720"/>
    </w:pPr>
  </w:style>
  <w:style w:type="character" w:customStyle="1" w:styleId="FooterChar">
    <w:name w:val="Footer Char"/>
    <w:link w:val="Footer"/>
    <w:uiPriority w:val="99"/>
    <w:rsid w:val="00BB05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MODEL POLICY</vt:lpstr>
    </vt:vector>
  </TitlesOfParts>
  <LinksUpToDate>false</LinksUpToDate>
  <CharactersWithSpaces>3177</CharactersWithSpaces>
  <SharedDoc>false</SharedDoc>
  <HLinks>
    <vt:vector size="6" baseType="variant">
      <vt:variant>
        <vt:i4>2818101</vt:i4>
      </vt:variant>
      <vt:variant>
        <vt:i4>0</vt:i4>
      </vt:variant>
      <vt:variant>
        <vt:i4>0</vt:i4>
      </vt:variant>
      <vt:variant>
        <vt:i4>5</vt:i4>
      </vt:variant>
      <vt:variant>
        <vt:lpwstr>http://www.utsystem.edu/bor/rules/30000Series/30601.doc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2007-12-07T21:44:00Z</cp:lastPrinted>
  <dcterms:created xsi:type="dcterms:W3CDTF">2012-02-21T16:17:00Z</dcterms:created>
  <dcterms:modified xsi:type="dcterms:W3CDTF">2012-02-22T18:13:00Z</dcterms:modified>
</cp:coreProperties>
</file>