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D05" w:rsidRDefault="003706F4" w:rsidP="00DA0B88">
      <w:pPr>
        <w:jc w:val="center"/>
        <w:outlineLvl w:val="0"/>
        <w:rPr>
          <w:b/>
        </w:rPr>
      </w:pPr>
      <w:r w:rsidRPr="003706F4">
        <w:rPr>
          <w:b/>
        </w:rPr>
        <w:t>Model Policy</w:t>
      </w:r>
    </w:p>
    <w:p w:rsidR="00802E21" w:rsidRDefault="00802E21" w:rsidP="00802E21">
      <w:pPr>
        <w:ind w:left="2160"/>
        <w:outlineLvl w:val="0"/>
        <w:rPr>
          <w:sz w:val="22"/>
          <w:szCs w:val="22"/>
        </w:rPr>
      </w:pPr>
    </w:p>
    <w:p w:rsidR="00802E21" w:rsidRPr="00DA0B88" w:rsidRDefault="00802E21" w:rsidP="00802E21">
      <w:pPr>
        <w:ind w:left="2160"/>
        <w:outlineLvl w:val="0"/>
        <w:rPr>
          <w:sz w:val="22"/>
          <w:szCs w:val="22"/>
        </w:rPr>
      </w:pPr>
      <w:r w:rsidRPr="00DA0B88">
        <w:rPr>
          <w:sz w:val="22"/>
          <w:szCs w:val="22"/>
        </w:rPr>
        <w:t>Issued by:</w:t>
      </w:r>
      <w:r w:rsidRPr="00DA0B88">
        <w:rPr>
          <w:sz w:val="22"/>
          <w:szCs w:val="22"/>
        </w:rPr>
        <w:tab/>
        <w:t xml:space="preserve">Office of </w:t>
      </w:r>
      <w:smartTag w:uri="urn:schemas-microsoft-com:office:smarttags" w:element="place">
        <w:smartTag w:uri="urn:schemas-microsoft-com:office:smarttags" w:element="City">
          <w:r w:rsidRPr="00DA0B88">
            <w:rPr>
              <w:sz w:val="22"/>
              <w:szCs w:val="22"/>
            </w:rPr>
            <w:t>General</w:t>
          </w:r>
        </w:smartTag>
        <w:r w:rsidRPr="00DA0B88">
          <w:rPr>
            <w:sz w:val="22"/>
            <w:szCs w:val="22"/>
          </w:rPr>
          <w:t xml:space="preserve"> </w:t>
        </w:r>
        <w:smartTag w:uri="urn:schemas-microsoft-com:office:smarttags" w:element="State">
          <w:r w:rsidRPr="00DA0B88">
            <w:rPr>
              <w:sz w:val="22"/>
              <w:szCs w:val="22"/>
            </w:rPr>
            <w:t>Counsel</w:t>
          </w:r>
        </w:smartTag>
        <w:r w:rsidRPr="00DA0B88">
          <w:rPr>
            <w:sz w:val="22"/>
            <w:szCs w:val="22"/>
          </w:rPr>
          <w:t xml:space="preserve">, </w:t>
        </w:r>
        <w:smartTag w:uri="urn:schemas-microsoft-com:office:smarttags" w:element="State">
          <w:r w:rsidRPr="00DA0B88">
            <w:rPr>
              <w:sz w:val="22"/>
              <w:szCs w:val="22"/>
            </w:rPr>
            <w:t>UT</w:t>
          </w:r>
        </w:smartTag>
      </w:smartTag>
      <w:r w:rsidRPr="00DA0B88">
        <w:rPr>
          <w:sz w:val="22"/>
          <w:szCs w:val="22"/>
        </w:rPr>
        <w:t xml:space="preserve"> System</w:t>
      </w:r>
    </w:p>
    <w:p w:rsidR="00802E21" w:rsidRPr="00DA0B88" w:rsidRDefault="00802E21" w:rsidP="00802E21">
      <w:pPr>
        <w:ind w:left="2160"/>
        <w:outlineLvl w:val="0"/>
        <w:rPr>
          <w:sz w:val="22"/>
          <w:szCs w:val="22"/>
        </w:rPr>
      </w:pPr>
      <w:r w:rsidRPr="00DA0B88">
        <w:rPr>
          <w:sz w:val="22"/>
          <w:szCs w:val="22"/>
        </w:rPr>
        <w:tab/>
      </w:r>
      <w:r w:rsidRPr="00DA0B88">
        <w:rPr>
          <w:sz w:val="22"/>
          <w:szCs w:val="22"/>
        </w:rPr>
        <w:tab/>
      </w:r>
      <w:r w:rsidR="003B30E2">
        <w:rPr>
          <w:sz w:val="22"/>
          <w:szCs w:val="22"/>
        </w:rPr>
        <w:t>November 10, 2011</w:t>
      </w:r>
    </w:p>
    <w:p w:rsidR="003706F4" w:rsidRPr="003706F4" w:rsidRDefault="003706F4" w:rsidP="00802E21">
      <w:pPr>
        <w:outlineLvl w:val="0"/>
        <w:rPr>
          <w:b/>
        </w:rPr>
      </w:pPr>
    </w:p>
    <w:p w:rsidR="003B30E2" w:rsidRPr="003B30E2" w:rsidRDefault="003B30E2" w:rsidP="003B30E2">
      <w:pPr>
        <w:jc w:val="center"/>
        <w:outlineLvl w:val="0"/>
        <w:rPr>
          <w:b/>
        </w:rPr>
      </w:pPr>
      <w:r w:rsidRPr="003B30E2">
        <w:rPr>
          <w:b/>
        </w:rPr>
        <w:t>REQUIREMENT FOR VACCINATION AGAINST</w:t>
      </w:r>
    </w:p>
    <w:p w:rsidR="00CB4D05" w:rsidRPr="00436FB1" w:rsidRDefault="003B30E2" w:rsidP="003B30E2">
      <w:pPr>
        <w:jc w:val="center"/>
        <w:outlineLvl w:val="0"/>
        <w:rPr>
          <w:b/>
        </w:rPr>
      </w:pPr>
      <w:r w:rsidRPr="003B30E2">
        <w:rPr>
          <w:b/>
        </w:rPr>
        <w:t>BACTERIAL MENINGITIS FOR ENTERING STUDENT</w:t>
      </w:r>
    </w:p>
    <w:p w:rsidR="00CB4D05" w:rsidRDefault="00CB4D05" w:rsidP="00DA0B88">
      <w:pPr>
        <w:outlineLvl w:val="0"/>
      </w:pPr>
    </w:p>
    <w:p w:rsidR="00436FB1" w:rsidRPr="003706F4" w:rsidRDefault="00436FB1" w:rsidP="00DA0B88">
      <w:pPr>
        <w:outlineLvl w:val="0"/>
      </w:pPr>
    </w:p>
    <w:p w:rsidR="00E100A7" w:rsidRPr="00DA0B88" w:rsidRDefault="00BF0ADD" w:rsidP="00802E21">
      <w:pPr>
        <w:ind w:left="720" w:hanging="720"/>
        <w:jc w:val="both"/>
        <w:outlineLvl w:val="0"/>
        <w:rPr>
          <w:b/>
        </w:rPr>
      </w:pPr>
      <w:r w:rsidRPr="00DA0B88">
        <w:rPr>
          <w:b/>
        </w:rPr>
        <w:t>1</w:t>
      </w:r>
      <w:r w:rsidR="00CB4D05" w:rsidRPr="00DA0B88">
        <w:rPr>
          <w:b/>
        </w:rPr>
        <w:t>.</w:t>
      </w:r>
      <w:r w:rsidR="00CB4D05" w:rsidRPr="00DA0B88">
        <w:rPr>
          <w:b/>
        </w:rPr>
        <w:tab/>
      </w:r>
      <w:r w:rsidR="00E100A7" w:rsidRPr="00DA0B88">
        <w:rPr>
          <w:b/>
        </w:rPr>
        <w:t>Policy</w:t>
      </w:r>
      <w:r w:rsidR="00FA0727" w:rsidRPr="00DA0B88">
        <w:rPr>
          <w:b/>
        </w:rPr>
        <w:t>.</w:t>
      </w:r>
    </w:p>
    <w:p w:rsidR="00DA0B88" w:rsidRPr="003706F4" w:rsidRDefault="00DA0B88" w:rsidP="00802E21">
      <w:pPr>
        <w:ind w:left="720" w:hanging="720"/>
        <w:jc w:val="both"/>
        <w:outlineLvl w:val="0"/>
      </w:pPr>
    </w:p>
    <w:p w:rsidR="00E100A7" w:rsidRPr="003706F4" w:rsidRDefault="00E100A7" w:rsidP="00802E21">
      <w:pPr>
        <w:ind w:left="720" w:hanging="720"/>
        <w:jc w:val="both"/>
        <w:outlineLvl w:val="0"/>
      </w:pPr>
      <w:r w:rsidRPr="003706F4">
        <w:tab/>
        <w:t xml:space="preserve">The University of Texas </w:t>
      </w:r>
      <w:r w:rsidR="00FF37FF" w:rsidRPr="00DA0B88">
        <w:rPr>
          <w:b/>
        </w:rPr>
        <w:t>[name of institution]</w:t>
      </w:r>
      <w:r w:rsidR="00DA0B88">
        <w:t xml:space="preserve"> </w:t>
      </w:r>
      <w:r w:rsidR="003B30E2" w:rsidRPr="003B30E2">
        <w:t>complies with Texas Education Code</w:t>
      </w:r>
      <w:r w:rsidR="003B30E2">
        <w:t xml:space="preserve"> </w:t>
      </w:r>
      <w:r w:rsidR="003B30E2" w:rsidRPr="003B30E2">
        <w:t>§</w:t>
      </w:r>
      <w:r w:rsidR="003B30E2">
        <w:t> </w:t>
      </w:r>
      <w:r w:rsidR="003B30E2" w:rsidRPr="003B30E2">
        <w:t>51.9192, “the Jamie Schanbaum Act  and Nicolis Willimason Act ”, which requires all entering students of a Texas institutions of higher education, including transfer students, to show evidence of immunization for bacterial meningitis prior to enrollment.</w:t>
      </w:r>
    </w:p>
    <w:p w:rsidR="00E100A7" w:rsidRPr="003706F4" w:rsidRDefault="00E100A7" w:rsidP="00802E21">
      <w:pPr>
        <w:ind w:left="720" w:hanging="720"/>
        <w:jc w:val="both"/>
        <w:outlineLvl w:val="0"/>
      </w:pPr>
    </w:p>
    <w:p w:rsidR="00715567" w:rsidRPr="00DA0B88" w:rsidRDefault="00BF0ADD" w:rsidP="009B3BA8">
      <w:pPr>
        <w:tabs>
          <w:tab w:val="left" w:pos="720"/>
          <w:tab w:val="left" w:pos="1440"/>
          <w:tab w:val="left" w:pos="2160"/>
          <w:tab w:val="center" w:pos="4680"/>
        </w:tabs>
        <w:ind w:left="720" w:hanging="720"/>
        <w:jc w:val="both"/>
        <w:outlineLvl w:val="0"/>
        <w:rPr>
          <w:b/>
        </w:rPr>
      </w:pPr>
      <w:r w:rsidRPr="00DA0B88">
        <w:rPr>
          <w:b/>
        </w:rPr>
        <w:t>2</w:t>
      </w:r>
      <w:r w:rsidR="00E100A7" w:rsidRPr="00DA0B88">
        <w:rPr>
          <w:b/>
        </w:rPr>
        <w:t>.</w:t>
      </w:r>
      <w:r w:rsidR="00E100A7" w:rsidRPr="00DA0B88">
        <w:rPr>
          <w:b/>
        </w:rPr>
        <w:tab/>
      </w:r>
      <w:r w:rsidR="0039722F" w:rsidRPr="00DA0B88">
        <w:rPr>
          <w:b/>
        </w:rPr>
        <w:t>Applicability.</w:t>
      </w:r>
    </w:p>
    <w:p w:rsidR="00DA0B88" w:rsidRDefault="00DA0B88" w:rsidP="00802E21">
      <w:pPr>
        <w:ind w:left="720" w:hanging="720"/>
        <w:jc w:val="both"/>
        <w:outlineLvl w:val="0"/>
      </w:pPr>
    </w:p>
    <w:p w:rsidR="00E100A7" w:rsidRDefault="00715567" w:rsidP="00802E21">
      <w:pPr>
        <w:ind w:left="720" w:hanging="720"/>
        <w:jc w:val="both"/>
        <w:outlineLvl w:val="0"/>
      </w:pPr>
      <w:r w:rsidRPr="003706F4">
        <w:tab/>
      </w:r>
      <w:r w:rsidR="003B30E2" w:rsidRPr="003B30E2">
        <w:t>This policy applies to all first time University students who have been admitted to the University.</w:t>
      </w:r>
    </w:p>
    <w:p w:rsidR="00B33D9C" w:rsidRPr="003706F4" w:rsidRDefault="00B33D9C" w:rsidP="00802E21">
      <w:pPr>
        <w:ind w:left="1980" w:hanging="1980"/>
        <w:jc w:val="both"/>
        <w:outlineLvl w:val="0"/>
      </w:pPr>
    </w:p>
    <w:p w:rsidR="0063282D" w:rsidRDefault="00B33D9C" w:rsidP="00802E21">
      <w:pPr>
        <w:ind w:left="720" w:hanging="720"/>
        <w:jc w:val="both"/>
        <w:outlineLvl w:val="0"/>
        <w:rPr>
          <w:b/>
        </w:rPr>
      </w:pPr>
      <w:r w:rsidRPr="00802E21">
        <w:rPr>
          <w:b/>
        </w:rPr>
        <w:t>3.</w:t>
      </w:r>
      <w:r w:rsidRPr="00802E21">
        <w:rPr>
          <w:b/>
        </w:rPr>
        <w:tab/>
      </w:r>
      <w:r w:rsidR="0063282D">
        <w:rPr>
          <w:b/>
        </w:rPr>
        <w:t>Definitions</w:t>
      </w:r>
      <w:r w:rsidR="003B30E2">
        <w:rPr>
          <w:b/>
        </w:rPr>
        <w:t>.</w:t>
      </w:r>
    </w:p>
    <w:p w:rsidR="00663CD2" w:rsidRPr="003706F4" w:rsidRDefault="00663CD2" w:rsidP="00802E21">
      <w:pPr>
        <w:ind w:left="1980" w:hanging="1980"/>
        <w:jc w:val="both"/>
        <w:outlineLvl w:val="0"/>
      </w:pPr>
    </w:p>
    <w:p w:rsidR="00455D23" w:rsidRDefault="00032DB7" w:rsidP="00802E21">
      <w:pPr>
        <w:ind w:left="1440" w:hanging="720"/>
        <w:jc w:val="both"/>
      </w:pPr>
      <w:r w:rsidRPr="003706F4">
        <w:t>3.1</w:t>
      </w:r>
      <w:r w:rsidR="00455D23" w:rsidRPr="003706F4">
        <w:tab/>
      </w:r>
      <w:r w:rsidR="003B30E2" w:rsidRPr="003B30E2">
        <w:rPr>
          <w:b/>
        </w:rPr>
        <w:t>Enrolled</w:t>
      </w:r>
      <w:r w:rsidR="003B30E2">
        <w:rPr>
          <w:b/>
        </w:rPr>
        <w:t>:</w:t>
      </w:r>
      <w:r w:rsidR="008F10C2">
        <w:t xml:space="preserve">  </w:t>
      </w:r>
      <w:r w:rsidR="003B30E2">
        <w:t>A</w:t>
      </w:r>
      <w:r w:rsidR="003B30E2" w:rsidRPr="003B30E2">
        <w:t xml:space="preserve"> student has Registered for classes during the Semester and is otherwise eligible to attend classes during the Semester.</w:t>
      </w:r>
    </w:p>
    <w:p w:rsidR="00F041BD" w:rsidRDefault="00F041BD" w:rsidP="00802E21">
      <w:pPr>
        <w:ind w:left="1440" w:hanging="720"/>
        <w:jc w:val="both"/>
      </w:pPr>
    </w:p>
    <w:p w:rsidR="00F041BD" w:rsidRPr="00F041BD" w:rsidRDefault="00F041BD" w:rsidP="00802E21">
      <w:pPr>
        <w:ind w:left="1440" w:hanging="720"/>
        <w:jc w:val="both"/>
      </w:pPr>
      <w:r>
        <w:t>3.2</w:t>
      </w:r>
      <w:r>
        <w:tab/>
      </w:r>
      <w:r w:rsidR="003B30E2">
        <w:rPr>
          <w:b/>
        </w:rPr>
        <w:t>Entering Student</w:t>
      </w:r>
      <w:r>
        <w:rPr>
          <w:b/>
        </w:rPr>
        <w:t>:</w:t>
      </w:r>
      <w:r>
        <w:t xml:space="preserve"> </w:t>
      </w:r>
      <w:r w:rsidR="008F10C2">
        <w:t xml:space="preserve">  </w:t>
      </w:r>
      <w:r w:rsidR="003B30E2">
        <w:t>A</w:t>
      </w:r>
      <w:r w:rsidR="003B30E2" w:rsidRPr="003B30E2">
        <w:t>ny student admitted to the University on or after Jan</w:t>
      </w:r>
      <w:r w:rsidR="003B30E2">
        <w:t>uary 1, 2012 for the first time,</w:t>
      </w:r>
      <w:r w:rsidR="003B30E2" w:rsidRPr="003B30E2">
        <w:t xml:space="preserve"> including a transfer student from any other institution including another UT System institution, </w:t>
      </w:r>
      <w:r w:rsidR="003B30E2" w:rsidRPr="003B30E2">
        <w:rPr>
          <w:b/>
          <w:highlight w:val="yellow"/>
        </w:rPr>
        <w:t>[</w:t>
      </w:r>
      <w:r w:rsidR="003B30E2" w:rsidRPr="003B30E2">
        <w:t xml:space="preserve">a dual enrollment student other than a high school student described in subsection </w:t>
      </w:r>
      <w:r w:rsidR="003B30E2">
        <w:t>(c)</w:t>
      </w:r>
      <w:r w:rsidR="003B30E2" w:rsidRPr="003B30E2">
        <w:t xml:space="preserve"> </w:t>
      </w:r>
      <w:r w:rsidR="003B30E2">
        <w:t>below</w:t>
      </w:r>
      <w:r w:rsidR="003B30E2" w:rsidRPr="003B30E2">
        <w:t>,</w:t>
      </w:r>
      <w:r w:rsidR="003B30E2" w:rsidRPr="003B30E2">
        <w:rPr>
          <w:b/>
          <w:highlight w:val="yellow"/>
        </w:rPr>
        <w:t>]</w:t>
      </w:r>
      <w:r w:rsidR="003B30E2" w:rsidRPr="003B30E2">
        <w:t xml:space="preserve"> or a returning student who previous</w:t>
      </w:r>
      <w:r w:rsidR="003B30E2">
        <w:t xml:space="preserve">ly attended the University and </w:t>
      </w:r>
      <w:r w:rsidR="003B30E2" w:rsidRPr="003B30E2">
        <w:t>who is re-Enrolli</w:t>
      </w:r>
      <w:r w:rsidR="003B30E2">
        <w:t xml:space="preserve">ng on or after January 1, 2012 </w:t>
      </w:r>
      <w:r w:rsidR="003B30E2" w:rsidRPr="003B30E2">
        <w:t xml:space="preserve">following a break in enrollment of at least one fall or spring semester. </w:t>
      </w:r>
      <w:r w:rsidR="003B30E2">
        <w:t xml:space="preserve"> </w:t>
      </w:r>
      <w:r w:rsidR="00A031C0">
        <w:t>For purposes of this p</w:t>
      </w:r>
      <w:r w:rsidR="003B30E2" w:rsidRPr="003B30E2">
        <w:t>olicy, the term Entering Student does not include:</w:t>
      </w:r>
    </w:p>
    <w:p w:rsidR="00802E21" w:rsidRPr="003706F4" w:rsidRDefault="00802E21" w:rsidP="004A4685">
      <w:pPr>
        <w:jc w:val="both"/>
      </w:pPr>
    </w:p>
    <w:p w:rsidR="0039722F" w:rsidRDefault="003B30E2" w:rsidP="003B30E2">
      <w:pPr>
        <w:numPr>
          <w:ilvl w:val="0"/>
          <w:numId w:val="2"/>
        </w:numPr>
        <w:ind w:left="2160" w:hanging="720"/>
        <w:jc w:val="both"/>
      </w:pPr>
      <w:r w:rsidRPr="003B30E2">
        <w:t>a student who is thirty (30) years of age or older on the first day of the Semester;</w:t>
      </w:r>
      <w:r w:rsidR="008F10C2">
        <w:t xml:space="preserve"> </w:t>
      </w:r>
      <w:r w:rsidR="008F10C2" w:rsidRPr="008F10C2">
        <w:t>or</w:t>
      </w:r>
    </w:p>
    <w:p w:rsidR="0063282D" w:rsidRDefault="0063282D" w:rsidP="0063282D">
      <w:pPr>
        <w:ind w:left="2160"/>
        <w:jc w:val="both"/>
      </w:pPr>
    </w:p>
    <w:p w:rsidR="003B30E2" w:rsidRDefault="003B30E2" w:rsidP="003B30E2">
      <w:pPr>
        <w:numPr>
          <w:ilvl w:val="0"/>
          <w:numId w:val="2"/>
        </w:numPr>
        <w:ind w:left="2160" w:hanging="720"/>
        <w:jc w:val="both"/>
      </w:pPr>
      <w:r w:rsidRPr="003B30E2">
        <w:t>a student who is Enrolled only in online or other distance educ</w:t>
      </w:r>
      <w:r>
        <w:t>ation courses at the University</w:t>
      </w:r>
      <w:r w:rsidR="008F10C2">
        <w:t>.</w:t>
      </w:r>
    </w:p>
    <w:p w:rsidR="003B30E2" w:rsidRDefault="003B30E2" w:rsidP="003B30E2">
      <w:pPr>
        <w:pStyle w:val="ListParagraph"/>
      </w:pPr>
    </w:p>
    <w:p w:rsidR="0063282D" w:rsidRDefault="003B30E2" w:rsidP="003B30E2">
      <w:pPr>
        <w:numPr>
          <w:ilvl w:val="0"/>
          <w:numId w:val="2"/>
        </w:numPr>
        <w:ind w:left="2160" w:hanging="720"/>
        <w:jc w:val="both"/>
      </w:pPr>
      <w:r w:rsidRPr="00744766">
        <w:rPr>
          <w:b/>
          <w:highlight w:val="yellow"/>
        </w:rPr>
        <w:t>[</w:t>
      </w:r>
      <w:r w:rsidR="00744766" w:rsidRPr="00744766">
        <w:rPr>
          <w:b/>
          <w:highlight w:val="yellow"/>
        </w:rPr>
        <w:t>O</w:t>
      </w:r>
      <w:r w:rsidRPr="00744766">
        <w:rPr>
          <w:b/>
          <w:highlight w:val="yellow"/>
        </w:rPr>
        <w:t>ptional  if University offers dual enrollment courses for Texas high school students</w:t>
      </w:r>
      <w:r w:rsidR="008F10C2" w:rsidRPr="00744766">
        <w:rPr>
          <w:b/>
          <w:highlight w:val="yellow"/>
        </w:rPr>
        <w:t>:</w:t>
      </w:r>
      <w:r>
        <w:t xml:space="preserve"> </w:t>
      </w:r>
      <w:r w:rsidRPr="003B30E2">
        <w:t>a high school student who is concurrently enrolled at the University as a dual-enrollment student in dual credit courses held at a Texas high school</w:t>
      </w:r>
      <w:r w:rsidR="008F10C2" w:rsidRPr="008F10C2">
        <w:rPr>
          <w:b/>
          <w:highlight w:val="yellow"/>
        </w:rPr>
        <w:t>]</w:t>
      </w:r>
      <w:r w:rsidR="008F10C2" w:rsidRPr="008F10C2">
        <w:rPr>
          <w:b/>
          <w:highlight w:val="yellow"/>
        </w:rPr>
        <w:t>[</w:t>
      </w:r>
      <w:r w:rsidR="008F10C2" w:rsidRPr="008F10C2">
        <w:t>;</w:t>
      </w:r>
      <w:r w:rsidR="008F10C2" w:rsidRPr="008F10C2">
        <w:rPr>
          <w:highlight w:val="yellow"/>
        </w:rPr>
        <w:t>][</w:t>
      </w:r>
      <w:r w:rsidR="008F10C2">
        <w:t>.</w:t>
      </w:r>
      <w:r w:rsidR="008F10C2" w:rsidRPr="008F10C2">
        <w:rPr>
          <w:highlight w:val="yellow"/>
        </w:rPr>
        <w:t>]</w:t>
      </w:r>
    </w:p>
    <w:p w:rsidR="008F10C2" w:rsidRDefault="008F10C2" w:rsidP="008F10C2">
      <w:pPr>
        <w:jc w:val="both"/>
      </w:pPr>
    </w:p>
    <w:p w:rsidR="008F10C2" w:rsidRDefault="008F10C2" w:rsidP="008F10C2">
      <w:pPr>
        <w:ind w:left="1440"/>
        <w:jc w:val="both"/>
      </w:pPr>
      <w:r w:rsidRPr="008F10C2">
        <w:rPr>
          <w:b/>
          <w:highlight w:val="yellow"/>
        </w:rPr>
        <w:t>[</w:t>
      </w:r>
      <w:r w:rsidR="00744766" w:rsidRPr="00744766">
        <w:rPr>
          <w:b/>
          <w:highlight w:val="yellow"/>
        </w:rPr>
        <w:t>O</w:t>
      </w:r>
      <w:r w:rsidRPr="00744766">
        <w:rPr>
          <w:b/>
          <w:highlight w:val="yellow"/>
        </w:rPr>
        <w:t>ptional if University offers continuing education courses subject to approval by the Texas Higher Education Coordinating Board</w:t>
      </w:r>
      <w:r w:rsidR="00744766" w:rsidRPr="00744766">
        <w:rPr>
          <w:b/>
          <w:highlight w:val="yellow"/>
        </w:rPr>
        <w:t>:</w:t>
      </w:r>
      <w:r w:rsidRPr="008F10C2">
        <w:t xml:space="preserve"> </w:t>
      </w:r>
    </w:p>
    <w:p w:rsidR="008F10C2" w:rsidRDefault="008F10C2" w:rsidP="008F10C2">
      <w:pPr>
        <w:numPr>
          <w:ilvl w:val="0"/>
          <w:numId w:val="2"/>
        </w:numPr>
        <w:ind w:left="2160" w:hanging="720"/>
        <w:jc w:val="both"/>
      </w:pPr>
      <w:r w:rsidRPr="008F10C2">
        <w:t>a student participating in a Texas Higher Education Coordinating Board approved Continuing Education Program  or Course that consists of less than 360 contact hours; or</w:t>
      </w:r>
    </w:p>
    <w:p w:rsidR="008F10C2" w:rsidRDefault="008F10C2" w:rsidP="008F10C2">
      <w:pPr>
        <w:ind w:left="2160"/>
        <w:jc w:val="both"/>
      </w:pPr>
    </w:p>
    <w:p w:rsidR="008F10C2" w:rsidRDefault="008F10C2" w:rsidP="008F10C2">
      <w:pPr>
        <w:numPr>
          <w:ilvl w:val="0"/>
          <w:numId w:val="2"/>
        </w:numPr>
        <w:ind w:left="2160" w:hanging="720"/>
        <w:jc w:val="both"/>
      </w:pPr>
      <w:r w:rsidRPr="008F10C2">
        <w:t>an individual attending a continuing education program or course offered by the University that does not require approval by the Texas Higher Education Coordinating Board.</w:t>
      </w:r>
      <w:r w:rsidRPr="008F10C2">
        <w:rPr>
          <w:b/>
          <w:highlight w:val="yellow"/>
        </w:rPr>
        <w:t>]</w:t>
      </w:r>
    </w:p>
    <w:p w:rsidR="0063282D" w:rsidRDefault="0063282D" w:rsidP="0063282D">
      <w:pPr>
        <w:pStyle w:val="ListParagraph"/>
      </w:pPr>
    </w:p>
    <w:p w:rsidR="0063282D" w:rsidRDefault="008F10C2" w:rsidP="008F10C2">
      <w:pPr>
        <w:ind w:left="1440" w:hanging="720"/>
        <w:jc w:val="both"/>
      </w:pPr>
      <w:r>
        <w:t>3.3</w:t>
      </w:r>
      <w:r>
        <w:tab/>
      </w:r>
      <w:r w:rsidRPr="008F10C2">
        <w:rPr>
          <w:b/>
        </w:rPr>
        <w:t>Justifiable Circumstances:</w:t>
      </w:r>
      <w:r>
        <w:t xml:space="preserve">  Circumstances over </w:t>
      </w:r>
      <w:r w:rsidRPr="008F10C2">
        <w:t xml:space="preserve">which an Entering Student has no control that prevented him or her from providing proof of Required Vaccination or an exception set forth in Section </w:t>
      </w:r>
      <w:r>
        <w:t>6</w:t>
      </w:r>
      <w:r w:rsidRPr="008F10C2">
        <w:t xml:space="preserve"> prior to Registration. </w:t>
      </w:r>
      <w:r>
        <w:t xml:space="preserve"> </w:t>
      </w:r>
      <w:r w:rsidRPr="008F10C2">
        <w:t xml:space="preserve">Neither failure to receive the notice required by Section </w:t>
      </w:r>
      <w:r>
        <w:t>7</w:t>
      </w:r>
      <w:r w:rsidRPr="008F10C2">
        <w:t xml:space="preserve"> of t</w:t>
      </w:r>
      <w:r w:rsidR="00A031C0">
        <w:t>his p</w:t>
      </w:r>
      <w:r w:rsidRPr="008F10C2">
        <w:t>olicy or a claimed general lack of knowledge of the Vaccination Requirement shall be considered to constitute Justifiable Circumstances.</w:t>
      </w:r>
    </w:p>
    <w:p w:rsidR="008F10C2" w:rsidRDefault="008F10C2" w:rsidP="008F10C2">
      <w:pPr>
        <w:ind w:left="1440" w:hanging="720"/>
        <w:jc w:val="both"/>
      </w:pPr>
    </w:p>
    <w:p w:rsidR="008F10C2" w:rsidRDefault="008F10C2" w:rsidP="008F10C2">
      <w:pPr>
        <w:ind w:left="1440" w:hanging="720"/>
        <w:jc w:val="both"/>
      </w:pPr>
      <w:r>
        <w:t>3.4</w:t>
      </w:r>
      <w:r>
        <w:tab/>
      </w:r>
      <w:r w:rsidRPr="008F10C2">
        <w:rPr>
          <w:b/>
        </w:rPr>
        <w:t>Online or other distance education course:</w:t>
      </w:r>
      <w:r w:rsidRPr="008F10C2">
        <w:t xml:space="preserve"> </w:t>
      </w:r>
      <w:r>
        <w:t xml:space="preserve"> A </w:t>
      </w:r>
      <w:r w:rsidRPr="008F10C2">
        <w:t>course in which students receive web-based instruction or a correspondence course.  A course that requires any face-to-face contact, such as meeting in a testing lab or for a special presentation, is not an “online or other distance education course</w:t>
      </w:r>
      <w:r>
        <w:t>.</w:t>
      </w:r>
      <w:r w:rsidRPr="008F10C2">
        <w:t>”</w:t>
      </w:r>
    </w:p>
    <w:p w:rsidR="008F10C2" w:rsidRDefault="008F10C2" w:rsidP="008F10C2">
      <w:pPr>
        <w:ind w:left="1440" w:hanging="720"/>
        <w:jc w:val="both"/>
      </w:pPr>
    </w:p>
    <w:p w:rsidR="008F10C2" w:rsidRDefault="008F10C2" w:rsidP="008F10C2">
      <w:pPr>
        <w:ind w:left="1440" w:hanging="720"/>
        <w:jc w:val="both"/>
      </w:pPr>
      <w:r>
        <w:t>3.5</w:t>
      </w:r>
      <w:r>
        <w:tab/>
      </w:r>
      <w:r w:rsidRPr="008F10C2">
        <w:rPr>
          <w:b/>
        </w:rPr>
        <w:t>Register</w:t>
      </w:r>
      <w:r>
        <w:rPr>
          <w:b/>
        </w:rPr>
        <w:t xml:space="preserve">; </w:t>
      </w:r>
      <w:r w:rsidRPr="008F10C2">
        <w:rPr>
          <w:b/>
        </w:rPr>
        <w:t>Register for Classes</w:t>
      </w:r>
      <w:r>
        <w:t>:</w:t>
      </w:r>
      <w:r w:rsidRPr="008F10C2">
        <w:t xml:space="preserve"> </w:t>
      </w:r>
      <w:r>
        <w:t xml:space="preserve"> T</w:t>
      </w:r>
      <w:r w:rsidRPr="008F10C2">
        <w:t>he act of Registration</w:t>
      </w:r>
      <w:r>
        <w:t>.</w:t>
      </w:r>
    </w:p>
    <w:p w:rsidR="008F10C2" w:rsidRDefault="008F10C2" w:rsidP="008F10C2">
      <w:pPr>
        <w:ind w:left="1440" w:hanging="720"/>
        <w:jc w:val="both"/>
      </w:pPr>
    </w:p>
    <w:p w:rsidR="008F10C2" w:rsidRDefault="008F10C2" w:rsidP="008F10C2">
      <w:pPr>
        <w:ind w:left="1440" w:hanging="720"/>
        <w:jc w:val="both"/>
      </w:pPr>
      <w:r>
        <w:t>3.6</w:t>
      </w:r>
      <w:r>
        <w:tab/>
      </w:r>
      <w:r w:rsidRPr="008F10C2">
        <w:rPr>
          <w:b/>
        </w:rPr>
        <w:t>Registration</w:t>
      </w:r>
      <w:r>
        <w:rPr>
          <w:b/>
        </w:rPr>
        <w:t>;</w:t>
      </w:r>
      <w:r w:rsidRPr="008F10C2">
        <w:t xml:space="preserve"> </w:t>
      </w:r>
      <w:r w:rsidRPr="008F10C2">
        <w:rPr>
          <w:b/>
        </w:rPr>
        <w:t>Registration for Classes</w:t>
      </w:r>
      <w:r>
        <w:rPr>
          <w:b/>
        </w:rPr>
        <w:t>:</w:t>
      </w:r>
      <w:r w:rsidRPr="008F10C2">
        <w:t xml:space="preserve">  </w:t>
      </w:r>
      <w:r>
        <w:t>T</w:t>
      </w:r>
      <w:r w:rsidRPr="008F10C2">
        <w:t>he official process by which a student signs up to take a class or classes offered by the University for the Semester.</w:t>
      </w:r>
      <w:r>
        <w:t xml:space="preserve"> </w:t>
      </w:r>
      <w:r w:rsidRPr="008F10C2">
        <w:t xml:space="preserve"> It may include either on-line registration or in-person registration.</w:t>
      </w:r>
    </w:p>
    <w:p w:rsidR="008F10C2" w:rsidRDefault="008F10C2" w:rsidP="008F10C2">
      <w:pPr>
        <w:ind w:left="1440" w:hanging="720"/>
        <w:jc w:val="both"/>
      </w:pPr>
    </w:p>
    <w:p w:rsidR="008F10C2" w:rsidRDefault="008F10C2" w:rsidP="008F10C2">
      <w:pPr>
        <w:ind w:left="1440" w:hanging="720"/>
        <w:jc w:val="both"/>
      </w:pPr>
      <w:r>
        <w:t>3.7</w:t>
      </w:r>
      <w:r>
        <w:tab/>
      </w:r>
      <w:r w:rsidRPr="008F10C2">
        <w:rPr>
          <w:b/>
        </w:rPr>
        <w:t>Required Vaccination:</w:t>
      </w:r>
      <w:r>
        <w:t xml:space="preserve">  A</w:t>
      </w:r>
      <w:r w:rsidRPr="008F10C2">
        <w:t>n initial vaccination or booster dose recognized by the U</w:t>
      </w:r>
      <w:r w:rsidR="00A031C0">
        <w:t>.</w:t>
      </w:r>
      <w:r w:rsidRPr="008F10C2">
        <w:t>S</w:t>
      </w:r>
      <w:r w:rsidR="00A031C0">
        <w:t>.</w:t>
      </w:r>
      <w:r w:rsidRPr="008F10C2">
        <w:t xml:space="preserve"> Center for Disease Control as effective for the immunization of an individual against bacterial meningitis.</w:t>
      </w:r>
    </w:p>
    <w:p w:rsidR="00A031C0" w:rsidRDefault="00A031C0" w:rsidP="008F10C2">
      <w:pPr>
        <w:ind w:left="1440" w:hanging="720"/>
        <w:jc w:val="both"/>
      </w:pPr>
    </w:p>
    <w:p w:rsidR="00A031C0" w:rsidRDefault="00A031C0" w:rsidP="008F10C2">
      <w:pPr>
        <w:ind w:left="1440" w:hanging="720"/>
        <w:jc w:val="both"/>
      </w:pPr>
      <w:r>
        <w:t>3.8</w:t>
      </w:r>
      <w:r>
        <w:tab/>
      </w:r>
      <w:r w:rsidRPr="00A031C0">
        <w:rPr>
          <w:b/>
        </w:rPr>
        <w:t>Responsible Party:</w:t>
      </w:r>
      <w:r>
        <w:t xml:space="preserve">  </w:t>
      </w:r>
      <w:r w:rsidRPr="00A031C0">
        <w:t xml:space="preserve">The </w:t>
      </w:r>
      <w:r w:rsidRPr="00A031C0">
        <w:rPr>
          <w:b/>
        </w:rPr>
        <w:t>[insert name of University official designated by the President of the University to receive documentation]</w:t>
      </w:r>
      <w:r w:rsidRPr="00A031C0">
        <w:t xml:space="preserve"> in the </w:t>
      </w:r>
      <w:r w:rsidRPr="00A031C0">
        <w:rPr>
          <w:b/>
        </w:rPr>
        <w:t>[insert office in which the official is assigned]</w:t>
      </w:r>
      <w:r w:rsidRPr="00A031C0">
        <w:t xml:space="preserve"> designated by the University President to receive documentation required under this policy of Required Vaccination by each Entering Student, or that person’s designee.</w:t>
      </w:r>
    </w:p>
    <w:p w:rsidR="00A031C0" w:rsidRDefault="00A031C0" w:rsidP="008F10C2">
      <w:pPr>
        <w:ind w:left="1440" w:hanging="720"/>
        <w:jc w:val="both"/>
      </w:pPr>
    </w:p>
    <w:p w:rsidR="00A031C0" w:rsidRDefault="00A031C0" w:rsidP="008F10C2">
      <w:pPr>
        <w:ind w:left="1440" w:hanging="720"/>
        <w:jc w:val="both"/>
      </w:pPr>
      <w:r>
        <w:t>3.9</w:t>
      </w:r>
      <w:r>
        <w:tab/>
      </w:r>
      <w:r w:rsidRPr="00A031C0">
        <w:rPr>
          <w:b/>
        </w:rPr>
        <w:t>Semester:</w:t>
      </w:r>
      <w:r>
        <w:t xml:space="preserve">  T</w:t>
      </w:r>
      <w:r w:rsidRPr="00A031C0">
        <w:t>he first semester, or a term of enrollment used in lieu of a semester by the University, in which an Entering Student seeks to be Enrolled at the University.</w:t>
      </w:r>
    </w:p>
    <w:p w:rsidR="00CD5676" w:rsidRPr="003706F4" w:rsidRDefault="00CD5676" w:rsidP="006B1EE3">
      <w:pPr>
        <w:jc w:val="both"/>
      </w:pPr>
    </w:p>
    <w:p w:rsidR="00310F47" w:rsidRPr="006B1EE3" w:rsidRDefault="00310F47" w:rsidP="006B1EE3">
      <w:pPr>
        <w:jc w:val="both"/>
        <w:rPr>
          <w:b/>
        </w:rPr>
      </w:pPr>
      <w:r w:rsidRPr="006B1EE3">
        <w:rPr>
          <w:b/>
        </w:rPr>
        <w:t>4.</w:t>
      </w:r>
      <w:r w:rsidR="00CD5676" w:rsidRPr="006B1EE3">
        <w:rPr>
          <w:b/>
        </w:rPr>
        <w:tab/>
      </w:r>
      <w:r w:rsidR="00A031C0">
        <w:rPr>
          <w:b/>
        </w:rPr>
        <w:t>General Requirements</w:t>
      </w:r>
      <w:r w:rsidR="006B1EE3">
        <w:rPr>
          <w:b/>
        </w:rPr>
        <w:t>.</w:t>
      </w:r>
    </w:p>
    <w:p w:rsidR="006B1EE3" w:rsidRDefault="006B1EE3" w:rsidP="006B1EE3">
      <w:pPr>
        <w:jc w:val="both"/>
      </w:pPr>
    </w:p>
    <w:p w:rsidR="006B1EE3" w:rsidRDefault="00CD5676" w:rsidP="00BB0572">
      <w:pPr>
        <w:ind w:left="1440" w:hanging="720"/>
        <w:jc w:val="both"/>
      </w:pPr>
      <w:r w:rsidRPr="003706F4">
        <w:t>4.1</w:t>
      </w:r>
      <w:r w:rsidRPr="003706F4">
        <w:tab/>
      </w:r>
      <w:r w:rsidR="00A031C0" w:rsidRPr="00A031C0">
        <w:t xml:space="preserve">For purposes of this </w:t>
      </w:r>
      <w:r w:rsidR="00A031C0">
        <w:t>p</w:t>
      </w:r>
      <w:r w:rsidR="00A031C0" w:rsidRPr="00A031C0">
        <w:t>olicy, No Entering Student will be considered to be Enrolled in the University unless the Entering Student has first Registered for Classes for the Semester.</w:t>
      </w:r>
    </w:p>
    <w:p w:rsidR="006B1EE3" w:rsidRDefault="006B1EE3" w:rsidP="006B1EE3">
      <w:pPr>
        <w:jc w:val="both"/>
      </w:pPr>
    </w:p>
    <w:p w:rsidR="006B1EE3" w:rsidRDefault="00CD5676" w:rsidP="00BB0572">
      <w:pPr>
        <w:ind w:left="1440" w:hanging="720"/>
        <w:jc w:val="both"/>
      </w:pPr>
      <w:r w:rsidRPr="003706F4">
        <w:t>4.2</w:t>
      </w:r>
      <w:r w:rsidRPr="003706F4">
        <w:tab/>
      </w:r>
      <w:r w:rsidR="00A031C0" w:rsidRPr="00A031C0">
        <w:t>No Entering Student shall be permitted to Register for Classes for the Semester until the Entering Student provides</w:t>
      </w:r>
      <w:r w:rsidR="00A031C0">
        <w:t>,</w:t>
      </w:r>
      <w:r w:rsidR="00A031C0" w:rsidRPr="00A031C0">
        <w:t xml:space="preserve"> or causes to be provided upon his or her behalf, written documentation acceptable to the Responsible Party that establishes that the Covered Student has either:</w:t>
      </w:r>
    </w:p>
    <w:p w:rsidR="00A031C0" w:rsidRDefault="00A031C0" w:rsidP="00BB0572">
      <w:pPr>
        <w:ind w:left="1440" w:hanging="720"/>
        <w:jc w:val="both"/>
      </w:pPr>
    </w:p>
    <w:p w:rsidR="00A031C0" w:rsidRDefault="00A031C0" w:rsidP="00A031C0">
      <w:pPr>
        <w:numPr>
          <w:ilvl w:val="0"/>
          <w:numId w:val="5"/>
        </w:numPr>
        <w:ind w:left="2160" w:hanging="720"/>
        <w:jc w:val="both"/>
      </w:pPr>
      <w:r w:rsidRPr="00A031C0">
        <w:t>received a Required Vaccination during the five year period prior to but no later than 10 days prior to the first day of the semester; or</w:t>
      </w:r>
    </w:p>
    <w:p w:rsidR="00A031C0" w:rsidRDefault="00A031C0" w:rsidP="00A031C0">
      <w:pPr>
        <w:ind w:left="2160"/>
        <w:jc w:val="both"/>
      </w:pPr>
    </w:p>
    <w:p w:rsidR="00A031C0" w:rsidRDefault="00A031C0" w:rsidP="00A031C0">
      <w:pPr>
        <w:numPr>
          <w:ilvl w:val="0"/>
          <w:numId w:val="5"/>
        </w:numPr>
        <w:ind w:left="2160" w:hanging="720"/>
        <w:jc w:val="both"/>
      </w:pPr>
      <w:r w:rsidRPr="00A031C0">
        <w:t xml:space="preserve">meets one of the exceptions set forth in Section </w:t>
      </w:r>
      <w:r>
        <w:t>6 of this p</w:t>
      </w:r>
      <w:r w:rsidRPr="00A031C0">
        <w:t>olicy</w:t>
      </w:r>
      <w:r>
        <w:t>.</w:t>
      </w:r>
    </w:p>
    <w:p w:rsidR="006B1EE3" w:rsidRDefault="006B1EE3" w:rsidP="006B1EE3">
      <w:pPr>
        <w:ind w:left="720" w:hanging="720"/>
        <w:jc w:val="both"/>
      </w:pPr>
    </w:p>
    <w:p w:rsidR="00A031C0" w:rsidRPr="00BB0572" w:rsidRDefault="00A20E9A" w:rsidP="00FC7D16">
      <w:pPr>
        <w:ind w:left="1440" w:hanging="720"/>
        <w:jc w:val="both"/>
        <w:rPr>
          <w:b/>
        </w:rPr>
      </w:pPr>
      <w:r w:rsidRPr="00A20E9A">
        <w:rPr>
          <w:b/>
          <w:highlight w:val="yellow"/>
        </w:rPr>
        <w:t>[</w:t>
      </w:r>
      <w:r w:rsidR="00A031C0" w:rsidRPr="00FC7D16">
        <w:t>4.</w:t>
      </w:r>
      <w:r w:rsidR="00FC7D16" w:rsidRPr="00FC7D16">
        <w:t>3</w:t>
      </w:r>
      <w:r w:rsidR="00A031C0">
        <w:rPr>
          <w:b/>
        </w:rPr>
        <w:t xml:space="preserve"> </w:t>
      </w:r>
      <w:r w:rsidR="00FC7D16">
        <w:rPr>
          <w:b/>
        </w:rPr>
        <w:tab/>
      </w:r>
      <w:r w:rsidR="00FC7D16" w:rsidRPr="00FC7D16">
        <w:rPr>
          <w:b/>
          <w:highlight w:val="yellow"/>
        </w:rPr>
        <w:t>Optional</w:t>
      </w:r>
      <w:r w:rsidR="00744766" w:rsidRPr="00744766">
        <w:rPr>
          <w:b/>
          <w:highlight w:val="yellow"/>
        </w:rPr>
        <w:t>:</w:t>
      </w:r>
      <w:r w:rsidR="00FC7D16">
        <w:t xml:space="preserve">  </w:t>
      </w:r>
      <w:r w:rsidR="00A031C0" w:rsidRPr="00A031C0">
        <w:t xml:space="preserve">An Entering Student may, upon a submission of a written application that establishes Justifiable Circumstances acceptable to the Responsible Party, be granted an additional period of time, which shall not exceed the first day of the Semester, in which to provide either documentation of Required Vaccination Documentation or that she or he meets an exception set forth in Section </w:t>
      </w:r>
      <w:r w:rsidR="00FC7D16">
        <w:t>6</w:t>
      </w:r>
      <w:r w:rsidR="00A031C0" w:rsidRPr="00A031C0">
        <w:t xml:space="preserve">. </w:t>
      </w:r>
      <w:r w:rsidR="00FC7D16">
        <w:t xml:space="preserve"> </w:t>
      </w:r>
      <w:r w:rsidR="00A031C0" w:rsidRPr="00A031C0">
        <w:t xml:space="preserve">All decisions as to whether an Entering Student has established the </w:t>
      </w:r>
      <w:r w:rsidR="00B112BC" w:rsidRPr="00A031C0">
        <w:t xml:space="preserve">existence of Justifiable Circumstances </w:t>
      </w:r>
      <w:r w:rsidR="00B112BC">
        <w:t>are</w:t>
      </w:r>
      <w:r w:rsidR="00A031C0" w:rsidRPr="00A031C0">
        <w:t xml:space="preserve"> final and </w:t>
      </w:r>
      <w:r w:rsidR="00B112BC">
        <w:t>are</w:t>
      </w:r>
      <w:r w:rsidR="00A031C0" w:rsidRPr="00A031C0">
        <w:t xml:space="preserve"> not subject to appeal.</w:t>
      </w:r>
      <w:r w:rsidR="00A031C0" w:rsidRPr="00FC7D16">
        <w:rPr>
          <w:b/>
          <w:highlight w:val="yellow"/>
        </w:rPr>
        <w:t>]</w:t>
      </w:r>
      <w:r w:rsidR="006B1EE3">
        <w:tab/>
      </w:r>
    </w:p>
    <w:p w:rsidR="00CD5676" w:rsidRDefault="00CD5676" w:rsidP="00FC7D16">
      <w:pPr>
        <w:jc w:val="both"/>
        <w:rPr>
          <w:b/>
        </w:rPr>
      </w:pPr>
    </w:p>
    <w:p w:rsidR="00FC7D16" w:rsidRPr="00FC7D16" w:rsidRDefault="00FC7D16" w:rsidP="00FC7D16">
      <w:pPr>
        <w:ind w:left="1440" w:hanging="720"/>
        <w:jc w:val="both"/>
      </w:pPr>
      <w:r>
        <w:t>4.3</w:t>
      </w:r>
      <w:r w:rsidR="00A20E9A" w:rsidRPr="00B112BC">
        <w:rPr>
          <w:b/>
          <w:highlight w:val="yellow"/>
        </w:rPr>
        <w:t>[</w:t>
      </w:r>
      <w:r w:rsidR="00A20E9A" w:rsidRPr="00B112BC">
        <w:t>4</w:t>
      </w:r>
      <w:r w:rsidR="00A20E9A" w:rsidRPr="00B112BC">
        <w:rPr>
          <w:b/>
          <w:highlight w:val="yellow"/>
        </w:rPr>
        <w:t>]</w:t>
      </w:r>
      <w:r>
        <w:tab/>
      </w:r>
      <w:r w:rsidRPr="00FC7D16">
        <w:t xml:space="preserve">An Entering Student who fails to provide proof of either the Required Vaccination or compliance with one of the exceptions set forth in Section </w:t>
      </w:r>
      <w:r w:rsidR="00A20E9A">
        <w:t>6</w:t>
      </w:r>
      <w:r w:rsidRPr="00FC7D16">
        <w:t xml:space="preserve"> of this </w:t>
      </w:r>
      <w:r w:rsidR="00A20E9A">
        <w:t>p</w:t>
      </w:r>
      <w:r w:rsidRPr="00FC7D16">
        <w:t xml:space="preserve">olicy at least </w:t>
      </w:r>
      <w:r w:rsidR="00A20E9A">
        <w:t xml:space="preserve">10 </w:t>
      </w:r>
      <w:r w:rsidRPr="00FC7D16">
        <w:t>days before the first day of the Semester, shall not be permitted to Enroll at the University for the Semester</w:t>
      </w:r>
      <w:r w:rsidR="00B112BC" w:rsidRPr="00B112BC">
        <w:rPr>
          <w:b/>
          <w:highlight w:val="yellow"/>
        </w:rPr>
        <w:t>[</w:t>
      </w:r>
      <w:r w:rsidR="00B112BC">
        <w:t>.</w:t>
      </w:r>
      <w:r w:rsidR="00B112BC" w:rsidRPr="00B112BC">
        <w:rPr>
          <w:b/>
          <w:highlight w:val="yellow"/>
        </w:rPr>
        <w:t>]</w:t>
      </w:r>
      <w:r w:rsidR="00A20E9A">
        <w:t xml:space="preserve"> </w:t>
      </w:r>
      <w:r w:rsidR="00A20E9A" w:rsidRPr="00B112BC">
        <w:rPr>
          <w:b/>
          <w:highlight w:val="yellow"/>
        </w:rPr>
        <w:t>[</w:t>
      </w:r>
      <w:r w:rsidRPr="00B112BC">
        <w:rPr>
          <w:b/>
          <w:highlight w:val="yellow"/>
        </w:rPr>
        <w:t xml:space="preserve">if optional </w:t>
      </w:r>
      <w:r w:rsidR="00A20E9A" w:rsidRPr="00B112BC">
        <w:rPr>
          <w:b/>
          <w:highlight w:val="yellow"/>
        </w:rPr>
        <w:t xml:space="preserve">4.3 </w:t>
      </w:r>
      <w:r w:rsidRPr="00B112BC">
        <w:rPr>
          <w:b/>
          <w:highlight w:val="yellow"/>
        </w:rPr>
        <w:t xml:space="preserve">above </w:t>
      </w:r>
      <w:r w:rsidR="00A20E9A" w:rsidRPr="00B112BC">
        <w:rPr>
          <w:b/>
          <w:highlight w:val="yellow"/>
        </w:rPr>
        <w:t>adopted</w:t>
      </w:r>
      <w:r w:rsidR="00B112BC" w:rsidRPr="00B112BC">
        <w:rPr>
          <w:b/>
          <w:highlight w:val="yellow"/>
        </w:rPr>
        <w:t>:</w:t>
      </w:r>
      <w:r w:rsidR="00B112BC">
        <w:t xml:space="preserve"> </w:t>
      </w:r>
      <w:r w:rsidRPr="00FC7D16">
        <w:t xml:space="preserve">, except that an Entering Student who has been granted an extension of time as permitted by </w:t>
      </w:r>
      <w:r w:rsidR="00B112BC">
        <w:t>S</w:t>
      </w:r>
      <w:r w:rsidRPr="00FC7D16">
        <w:t xml:space="preserve">ection </w:t>
      </w:r>
      <w:r w:rsidR="00B112BC">
        <w:t>4.3 of this p</w:t>
      </w:r>
      <w:r w:rsidRPr="00FC7D16">
        <w:t xml:space="preserve">olicy and fails to provide proof of either the Required Vaccination or compliance with one of the exceptions set forth in Section </w:t>
      </w:r>
      <w:r w:rsidR="00B112BC">
        <w:t>6</w:t>
      </w:r>
      <w:r w:rsidRPr="00FC7D16">
        <w:t xml:space="preserve"> of this </w:t>
      </w:r>
      <w:r w:rsidR="00B112BC">
        <w:t>p</w:t>
      </w:r>
      <w:r w:rsidRPr="00FC7D16">
        <w:t>olicy by the first day of the Semester shall not be permitted to Enroll at the University for the Semester.</w:t>
      </w:r>
      <w:r w:rsidRPr="00B112BC">
        <w:rPr>
          <w:b/>
          <w:highlight w:val="yellow"/>
        </w:rPr>
        <w:t>]</w:t>
      </w:r>
    </w:p>
    <w:p w:rsidR="00CD5676" w:rsidRPr="003706F4" w:rsidRDefault="00CD5676" w:rsidP="006B1EE3">
      <w:pPr>
        <w:jc w:val="both"/>
      </w:pPr>
    </w:p>
    <w:p w:rsidR="00BB0572" w:rsidRDefault="00CD5676" w:rsidP="00BB0572">
      <w:pPr>
        <w:ind w:left="1440" w:hanging="720"/>
        <w:jc w:val="both"/>
      </w:pPr>
      <w:r w:rsidRPr="003706F4">
        <w:t>4.4</w:t>
      </w:r>
      <w:r w:rsidR="00B112BC" w:rsidRPr="00B112BC">
        <w:rPr>
          <w:b/>
          <w:highlight w:val="yellow"/>
        </w:rPr>
        <w:t>[</w:t>
      </w:r>
      <w:r w:rsidR="00B112BC" w:rsidRPr="00B112BC">
        <w:t>5</w:t>
      </w:r>
      <w:r w:rsidR="00B112BC" w:rsidRPr="00B112BC">
        <w:rPr>
          <w:b/>
          <w:highlight w:val="yellow"/>
        </w:rPr>
        <w:t>]</w:t>
      </w:r>
      <w:r w:rsidRPr="003706F4">
        <w:tab/>
      </w:r>
      <w:r w:rsidR="00B112BC" w:rsidRPr="00B112BC">
        <w:t xml:space="preserve">Failure to submit documentation of a Required Vaccination or an exception set forth in Section </w:t>
      </w:r>
      <w:r w:rsidR="00B112BC">
        <w:t>6</w:t>
      </w:r>
      <w:r w:rsidR="00B112BC" w:rsidRPr="00B112BC">
        <w:t xml:space="preserve"> of th</w:t>
      </w:r>
      <w:r w:rsidR="00B112BC">
        <w:t>is</w:t>
      </w:r>
      <w:r w:rsidR="00B112BC" w:rsidRPr="00B112BC">
        <w:t xml:space="preserve"> </w:t>
      </w:r>
      <w:r w:rsidR="00B112BC">
        <w:t>p</w:t>
      </w:r>
      <w:r w:rsidR="00B112BC" w:rsidRPr="00B112BC">
        <w:t>olicy does not alleviate the Entering Student’s responsibility under any contractual relationship between the University and the Entering Student relating to payment</w:t>
      </w:r>
      <w:r w:rsidR="00B112BC">
        <w:t xml:space="preserve"> of o</w:t>
      </w:r>
      <w:r w:rsidR="00B112BC" w:rsidRPr="00B112BC">
        <w:t>n-</w:t>
      </w:r>
      <w:r w:rsidR="00B112BC">
        <w:t>c</w:t>
      </w:r>
      <w:r w:rsidR="00B112BC" w:rsidRPr="00B112BC">
        <w:t xml:space="preserve">ampus </w:t>
      </w:r>
      <w:r w:rsidR="00B112BC">
        <w:t>h</w:t>
      </w:r>
      <w:r w:rsidR="00B112BC" w:rsidRPr="00B112BC">
        <w:t>ousing or other similar responsibilities.</w:t>
      </w:r>
    </w:p>
    <w:p w:rsidR="00B112BC" w:rsidRDefault="00B112BC" w:rsidP="00BB0572">
      <w:pPr>
        <w:ind w:left="1440" w:hanging="720"/>
        <w:jc w:val="both"/>
      </w:pPr>
    </w:p>
    <w:p w:rsidR="00B112BC" w:rsidRPr="00B112BC" w:rsidRDefault="00B112BC" w:rsidP="00BB0572">
      <w:pPr>
        <w:ind w:left="1440" w:hanging="720"/>
        <w:jc w:val="both"/>
        <w:rPr>
          <w:b/>
        </w:rPr>
      </w:pPr>
      <w:r>
        <w:t>4.5</w:t>
      </w:r>
      <w:r w:rsidRPr="00B112BC">
        <w:rPr>
          <w:b/>
          <w:highlight w:val="yellow"/>
        </w:rPr>
        <w:t>[</w:t>
      </w:r>
      <w:r>
        <w:t>6</w:t>
      </w:r>
      <w:r w:rsidRPr="00B112BC">
        <w:rPr>
          <w:b/>
          <w:highlight w:val="yellow"/>
        </w:rPr>
        <w:t>]</w:t>
      </w:r>
      <w:r>
        <w:rPr>
          <w:b/>
        </w:rPr>
        <w:tab/>
      </w:r>
      <w:r w:rsidRPr="00B112BC">
        <w:t xml:space="preserve">Documentation of the Required Vaccine or an exception set forth in Section </w:t>
      </w:r>
      <w:r>
        <w:t>6 below</w:t>
      </w:r>
      <w:r w:rsidRPr="00B112BC">
        <w:t xml:space="preserve"> must be approved by the Responsible Party or the Responsible Party’s designee for approval before an Entering Student can be permitted to register for classes for the Semester.</w:t>
      </w:r>
    </w:p>
    <w:p w:rsidR="00BB0572" w:rsidRDefault="00BB0572" w:rsidP="00BB0572">
      <w:pPr>
        <w:ind w:left="720"/>
        <w:jc w:val="both"/>
      </w:pPr>
    </w:p>
    <w:p w:rsidR="005D6489" w:rsidRPr="005D6489" w:rsidRDefault="005D6489" w:rsidP="005D6489">
      <w:pPr>
        <w:jc w:val="both"/>
        <w:rPr>
          <w:b/>
        </w:rPr>
      </w:pPr>
      <w:r w:rsidRPr="005D6489">
        <w:rPr>
          <w:b/>
        </w:rPr>
        <w:t>5.</w:t>
      </w:r>
      <w:r w:rsidRPr="005D6489">
        <w:rPr>
          <w:b/>
        </w:rPr>
        <w:tab/>
      </w:r>
      <w:r w:rsidR="00B112BC" w:rsidRPr="00B112BC">
        <w:rPr>
          <w:b/>
        </w:rPr>
        <w:t>Documentation of Requ</w:t>
      </w:r>
      <w:r w:rsidR="00B112BC">
        <w:rPr>
          <w:b/>
        </w:rPr>
        <w:t>ired Vaccine; Form, Maintenance</w:t>
      </w:r>
      <w:r w:rsidRPr="005D6489">
        <w:rPr>
          <w:b/>
        </w:rPr>
        <w:t>.</w:t>
      </w:r>
    </w:p>
    <w:p w:rsidR="005D6489" w:rsidRDefault="005D6489" w:rsidP="005D6489">
      <w:pPr>
        <w:jc w:val="both"/>
      </w:pPr>
    </w:p>
    <w:p w:rsidR="00BB0572" w:rsidRDefault="00B112BC" w:rsidP="005D6489">
      <w:pPr>
        <w:ind w:left="720"/>
        <w:jc w:val="both"/>
      </w:pPr>
      <w:r>
        <w:t>5.1</w:t>
      </w:r>
      <w:r>
        <w:tab/>
      </w:r>
      <w:r>
        <w:rPr>
          <w:u w:val="single"/>
        </w:rPr>
        <w:t>Documentation Required</w:t>
      </w:r>
      <w:r w:rsidRPr="00B112BC">
        <w:t xml:space="preserve">.  </w:t>
      </w:r>
      <w:r>
        <w:t>Acceptable documentation is:</w:t>
      </w:r>
    </w:p>
    <w:p w:rsidR="00B112BC" w:rsidRDefault="00B112BC" w:rsidP="005D6489">
      <w:pPr>
        <w:ind w:left="720"/>
        <w:jc w:val="both"/>
      </w:pPr>
    </w:p>
    <w:p w:rsidR="00B112BC" w:rsidRDefault="00B112BC" w:rsidP="00B112BC">
      <w:pPr>
        <w:numPr>
          <w:ilvl w:val="0"/>
          <w:numId w:val="6"/>
        </w:numPr>
        <w:ind w:left="2160" w:hanging="720"/>
        <w:jc w:val="both"/>
      </w:pPr>
      <w:r>
        <w:t xml:space="preserve">the signature or stamp of a physician or the physician’s designee or the public health official that administered the vaccination that shows the month, day and year the Required Vaccine was administered; </w:t>
      </w:r>
    </w:p>
    <w:p w:rsidR="00B112BC" w:rsidRDefault="00B112BC" w:rsidP="00B112BC">
      <w:pPr>
        <w:ind w:left="2160" w:hanging="720"/>
        <w:jc w:val="both"/>
      </w:pPr>
    </w:p>
    <w:p w:rsidR="00B112BC" w:rsidRDefault="00B112BC" w:rsidP="00B112BC">
      <w:pPr>
        <w:numPr>
          <w:ilvl w:val="0"/>
          <w:numId w:val="6"/>
        </w:numPr>
        <w:ind w:left="2160" w:hanging="720"/>
        <w:jc w:val="both"/>
      </w:pPr>
      <w:r>
        <w:t>an official immunization record issued by a state or local health authority; or</w:t>
      </w:r>
    </w:p>
    <w:p w:rsidR="00B112BC" w:rsidRDefault="00B112BC" w:rsidP="00B112BC">
      <w:pPr>
        <w:pStyle w:val="ListParagraph"/>
        <w:ind w:left="2160" w:hanging="720"/>
      </w:pPr>
    </w:p>
    <w:p w:rsidR="00B112BC" w:rsidRPr="003706F4" w:rsidRDefault="00B112BC" w:rsidP="00B112BC">
      <w:pPr>
        <w:numPr>
          <w:ilvl w:val="0"/>
          <w:numId w:val="6"/>
        </w:numPr>
        <w:ind w:left="2160" w:hanging="720"/>
        <w:jc w:val="both"/>
      </w:pPr>
      <w:r>
        <w:t>an official record received by the University directly from a Texas school official or a school official in another state.</w:t>
      </w:r>
    </w:p>
    <w:p w:rsidR="00F034E0" w:rsidRDefault="00F034E0" w:rsidP="006B1EE3">
      <w:pPr>
        <w:jc w:val="both"/>
      </w:pPr>
    </w:p>
    <w:p w:rsidR="00B112BC" w:rsidRDefault="00B112BC" w:rsidP="00B112BC">
      <w:pPr>
        <w:ind w:left="1440" w:hanging="720"/>
        <w:jc w:val="both"/>
      </w:pPr>
      <w:r>
        <w:t>5.2</w:t>
      </w:r>
      <w:r>
        <w:tab/>
      </w:r>
      <w:r>
        <w:rPr>
          <w:u w:val="single"/>
        </w:rPr>
        <w:t>Form of Documentation</w:t>
      </w:r>
      <w:r>
        <w:t>.  The documentation submitted must:</w:t>
      </w:r>
    </w:p>
    <w:p w:rsidR="00B112BC" w:rsidRDefault="00B112BC" w:rsidP="00B112BC">
      <w:pPr>
        <w:ind w:left="1440" w:hanging="720"/>
        <w:jc w:val="both"/>
      </w:pPr>
    </w:p>
    <w:p w:rsidR="00B112BC" w:rsidRDefault="00B112BC" w:rsidP="00B112BC">
      <w:pPr>
        <w:numPr>
          <w:ilvl w:val="0"/>
          <w:numId w:val="7"/>
        </w:numPr>
        <w:ind w:left="2160" w:hanging="720"/>
        <w:jc w:val="both"/>
      </w:pPr>
      <w:r>
        <w:t xml:space="preserve">be in English; </w:t>
      </w:r>
    </w:p>
    <w:p w:rsidR="00B112BC" w:rsidRDefault="00B112BC" w:rsidP="00B112BC">
      <w:pPr>
        <w:ind w:left="2160" w:hanging="720"/>
        <w:jc w:val="both"/>
      </w:pPr>
    </w:p>
    <w:p w:rsidR="00B112BC" w:rsidRDefault="00B112BC" w:rsidP="00B112BC">
      <w:pPr>
        <w:numPr>
          <w:ilvl w:val="0"/>
          <w:numId w:val="7"/>
        </w:numPr>
        <w:ind w:left="2160" w:hanging="720"/>
        <w:jc w:val="both"/>
      </w:pPr>
      <w:r>
        <w:t>s</w:t>
      </w:r>
      <w:r>
        <w:t>tate the name and other information sufficient to identify the individual who received the Required Vaccination; and</w:t>
      </w:r>
    </w:p>
    <w:p w:rsidR="00B112BC" w:rsidRDefault="00B112BC" w:rsidP="00B112BC">
      <w:pPr>
        <w:pStyle w:val="ListParagraph"/>
        <w:ind w:left="2160" w:hanging="720"/>
      </w:pPr>
    </w:p>
    <w:p w:rsidR="00B112BC" w:rsidRDefault="00B112BC" w:rsidP="00B112BC">
      <w:pPr>
        <w:numPr>
          <w:ilvl w:val="0"/>
          <w:numId w:val="7"/>
        </w:numPr>
        <w:ind w:left="2160" w:hanging="720"/>
        <w:jc w:val="both"/>
      </w:pPr>
      <w:r>
        <w:t>clearly identify that the Required Vaccine was</w:t>
      </w:r>
      <w:r>
        <w:t xml:space="preserve"> administered to the individual.</w:t>
      </w:r>
    </w:p>
    <w:p w:rsidR="00744766" w:rsidRDefault="00744766" w:rsidP="00744766">
      <w:pPr>
        <w:pStyle w:val="ListParagraph"/>
      </w:pPr>
    </w:p>
    <w:p w:rsidR="00744766" w:rsidRDefault="00744766" w:rsidP="00744766">
      <w:pPr>
        <w:ind w:left="1440" w:hanging="720"/>
        <w:jc w:val="both"/>
      </w:pPr>
      <w:r w:rsidRPr="00744766">
        <w:rPr>
          <w:b/>
          <w:highlight w:val="yellow"/>
        </w:rPr>
        <w:t>[</w:t>
      </w:r>
      <w:r>
        <w:t>5.3</w:t>
      </w:r>
      <w:r>
        <w:tab/>
      </w:r>
      <w:r w:rsidRPr="00744766">
        <w:rPr>
          <w:b/>
          <w:highlight w:val="yellow"/>
        </w:rPr>
        <w:t>Optional:</w:t>
      </w:r>
      <w:r>
        <w:t xml:space="preserve">  </w:t>
      </w:r>
      <w:r w:rsidRPr="00744766">
        <w:t>The University will accept copies of documentation of a Required Vaccine that meets the requirements of this Section VI directly from a school official or another institution of higher education at which an Entering Student was previously enrolled that is willing to provide certified copies of the required documentation to the University upon the request of an Entering Student</w:t>
      </w:r>
      <w:r w:rsidR="001263C7" w:rsidRPr="00744766">
        <w:t xml:space="preserve">.  </w:t>
      </w:r>
      <w:r w:rsidRPr="00744766">
        <w:t>An Entering Student that wishes to comply with this policy by exercising this option is solely responsible for requesting the documentation from and providing any necessary consent to effectuate his or her request directly to the institution of higher education.</w:t>
      </w:r>
    </w:p>
    <w:p w:rsidR="00744766" w:rsidRDefault="00744766" w:rsidP="00744766">
      <w:pPr>
        <w:ind w:left="1440" w:hanging="720"/>
        <w:jc w:val="both"/>
      </w:pPr>
    </w:p>
    <w:p w:rsidR="00744766" w:rsidRDefault="00744766" w:rsidP="00744766">
      <w:pPr>
        <w:ind w:left="1440" w:hanging="720"/>
        <w:jc w:val="both"/>
        <w:rPr>
          <w:b/>
        </w:rPr>
      </w:pPr>
      <w:r>
        <w:tab/>
      </w:r>
      <w:r w:rsidRPr="00744766">
        <w:rPr>
          <w:b/>
          <w:highlight w:val="yellow"/>
        </w:rPr>
        <w:t>OR</w:t>
      </w:r>
    </w:p>
    <w:p w:rsidR="00744766" w:rsidRDefault="00744766" w:rsidP="00744766">
      <w:pPr>
        <w:ind w:left="1440" w:hanging="720"/>
        <w:jc w:val="both"/>
        <w:rPr>
          <w:b/>
        </w:rPr>
      </w:pPr>
    </w:p>
    <w:p w:rsidR="00744766" w:rsidRPr="00744766" w:rsidRDefault="00744766" w:rsidP="00744766">
      <w:pPr>
        <w:ind w:left="1440" w:hanging="720"/>
        <w:jc w:val="both"/>
      </w:pPr>
      <w:r>
        <w:rPr>
          <w:b/>
        </w:rPr>
        <w:tab/>
      </w:r>
      <w:r w:rsidRPr="00744766">
        <w:t>The University will request documentation of a Required Vaccine that meets the requirements of this Section VI directly from a school official or an institution of higher education at which an Entering Student was previously enrolled that is willing to provide certified copies of the required documentation on behalf of an Entering Student</w:t>
      </w:r>
      <w:r w:rsidR="001263C7" w:rsidRPr="00744766">
        <w:t xml:space="preserve">.  </w:t>
      </w:r>
      <w:r w:rsidRPr="00744766">
        <w:t>However, the Entering Student is solely responsible for providing any required consent to the University necessary to effectuate such a request.</w:t>
      </w:r>
      <w:r w:rsidRPr="00744766">
        <w:rPr>
          <w:b/>
          <w:highlight w:val="yellow"/>
        </w:rPr>
        <w:t>]</w:t>
      </w:r>
    </w:p>
    <w:p w:rsidR="00B112BC" w:rsidRDefault="00B112BC" w:rsidP="006B1EE3">
      <w:pPr>
        <w:jc w:val="both"/>
      </w:pPr>
    </w:p>
    <w:p w:rsidR="00744766" w:rsidRPr="00744766" w:rsidRDefault="00744766" w:rsidP="00744766">
      <w:pPr>
        <w:ind w:left="1440" w:hanging="720"/>
        <w:jc w:val="both"/>
      </w:pPr>
      <w:r>
        <w:t>5.3</w:t>
      </w:r>
      <w:r w:rsidRPr="00744766">
        <w:rPr>
          <w:b/>
          <w:highlight w:val="yellow"/>
        </w:rPr>
        <w:t>[</w:t>
      </w:r>
      <w:r>
        <w:t>4</w:t>
      </w:r>
      <w:r w:rsidRPr="00744766">
        <w:rPr>
          <w:b/>
          <w:highlight w:val="yellow"/>
        </w:rPr>
        <w:t>]</w:t>
      </w:r>
      <w:r>
        <w:tab/>
      </w:r>
      <w:r>
        <w:rPr>
          <w:u w:val="single"/>
        </w:rPr>
        <w:t>Maintenance</w:t>
      </w:r>
      <w:r>
        <w:t>.  </w:t>
      </w:r>
      <w:r w:rsidRPr="00744766">
        <w:t>The documentation shall be securely maintained by the Responsible Party on behalf of the University in compliance with applicable state and federal confidentiality laws and regulations, including the Federal Education Rights and Privacy Act.</w:t>
      </w:r>
    </w:p>
    <w:p w:rsidR="00744766" w:rsidRPr="003706F4" w:rsidRDefault="00744766" w:rsidP="006B1EE3">
      <w:pPr>
        <w:jc w:val="both"/>
      </w:pPr>
    </w:p>
    <w:p w:rsidR="00F034E0" w:rsidRPr="00E27321" w:rsidRDefault="005D6489" w:rsidP="005D6489">
      <w:pPr>
        <w:keepNext/>
        <w:jc w:val="both"/>
        <w:rPr>
          <w:b/>
        </w:rPr>
      </w:pPr>
      <w:r>
        <w:rPr>
          <w:b/>
        </w:rPr>
        <w:lastRenderedPageBreak/>
        <w:t>6</w:t>
      </w:r>
      <w:r w:rsidR="00F034E0" w:rsidRPr="00E27321">
        <w:rPr>
          <w:b/>
        </w:rPr>
        <w:t>.</w:t>
      </w:r>
      <w:r w:rsidR="00F034E0" w:rsidRPr="00E27321">
        <w:rPr>
          <w:b/>
        </w:rPr>
        <w:tab/>
      </w:r>
      <w:r w:rsidR="00744766" w:rsidRPr="00744766">
        <w:rPr>
          <w:b/>
        </w:rPr>
        <w:t>Documentation of Permitted Exceptions</w:t>
      </w:r>
      <w:r w:rsidR="00E27321" w:rsidRPr="00E27321">
        <w:rPr>
          <w:b/>
        </w:rPr>
        <w:t>.</w:t>
      </w:r>
    </w:p>
    <w:p w:rsidR="00E27321" w:rsidRPr="003706F4" w:rsidRDefault="00E27321" w:rsidP="005D6489">
      <w:pPr>
        <w:keepNext/>
        <w:jc w:val="both"/>
      </w:pPr>
    </w:p>
    <w:p w:rsidR="0039722F" w:rsidRDefault="005D6489" w:rsidP="000450AE">
      <w:pPr>
        <w:ind w:left="1440" w:hanging="720"/>
        <w:jc w:val="both"/>
      </w:pPr>
      <w:r>
        <w:t>6</w:t>
      </w:r>
      <w:r w:rsidR="000450AE">
        <w:t>.1</w:t>
      </w:r>
      <w:r w:rsidR="000450AE">
        <w:tab/>
      </w:r>
      <w:r w:rsidR="00744766" w:rsidRPr="00744766">
        <w:t>An Entering Student is exempted from the requirements of this policy if the Entering Student submits one of the following to the Responsible Party:</w:t>
      </w:r>
    </w:p>
    <w:p w:rsidR="00744766" w:rsidRDefault="00744766" w:rsidP="00744766">
      <w:pPr>
        <w:ind w:left="2160" w:hanging="720"/>
        <w:jc w:val="both"/>
      </w:pPr>
      <w:r>
        <w:t>(a)</w:t>
      </w:r>
      <w:r>
        <w:tab/>
      </w:r>
      <w:r w:rsidRPr="00744766">
        <w:t>an affidavit or certificate signed by a physician licensed to practice medicine in the United States that indicates that the physician is of the opinion that the Required Vaccination would be i</w:t>
      </w:r>
      <w:r>
        <w:t>njurious to the health and well-</w:t>
      </w:r>
      <w:r w:rsidRPr="00744766">
        <w:t>being of the Entering Student; or</w:t>
      </w:r>
    </w:p>
    <w:p w:rsidR="00744766" w:rsidRDefault="00744766" w:rsidP="00744766">
      <w:pPr>
        <w:ind w:left="2160" w:hanging="720"/>
        <w:jc w:val="both"/>
      </w:pPr>
    </w:p>
    <w:p w:rsidR="00744766" w:rsidRDefault="00744766" w:rsidP="00744766">
      <w:pPr>
        <w:numPr>
          <w:ilvl w:val="0"/>
          <w:numId w:val="5"/>
        </w:numPr>
        <w:ind w:left="2160" w:hanging="720"/>
        <w:jc w:val="both"/>
      </w:pPr>
      <w:r w:rsidRPr="00744766">
        <w:t xml:space="preserve">an affidavit using the “Conscientious Exemption Form” promulgated by the Texas Department of State Services that is signed by the Covered Student stating that the Covered Student declines to have the Required Vaccination based on reasons of conscience, which may include the Entering Student’s religious beliefs. </w:t>
      </w:r>
      <w:r>
        <w:t xml:space="preserve"> </w:t>
      </w:r>
      <w:r w:rsidRPr="00744766">
        <w:t>However, this exception will not be available, at the discretion of the University, during a disaster or public health emergency, hostile or paramilitary action, or extraordinary law enforcement emergency declared by an appropriate official or authority from the Texas Department of State Health Services affecting the University.</w:t>
      </w:r>
    </w:p>
    <w:p w:rsidR="000450AE" w:rsidRDefault="000450AE" w:rsidP="000450AE">
      <w:pPr>
        <w:ind w:left="1440" w:hanging="720"/>
        <w:jc w:val="both"/>
      </w:pPr>
    </w:p>
    <w:p w:rsidR="000450AE" w:rsidRDefault="005D6489" w:rsidP="000450AE">
      <w:pPr>
        <w:ind w:left="1440" w:hanging="720"/>
        <w:jc w:val="both"/>
      </w:pPr>
      <w:r>
        <w:t>6</w:t>
      </w:r>
      <w:r w:rsidR="000450AE">
        <w:t>.2</w:t>
      </w:r>
      <w:r w:rsidR="000450AE">
        <w:tab/>
      </w:r>
      <w:r w:rsidR="00744766" w:rsidRPr="00744766">
        <w:t>Documentation supporting the requested permitted exception must be approved by the Responsible Party or the Responsible Party’s designee before an Entering Student is permitted to Register for classes for the Semester</w:t>
      </w:r>
      <w:r w:rsidR="00744766">
        <w:t>.</w:t>
      </w:r>
    </w:p>
    <w:p w:rsidR="00744766" w:rsidRDefault="00744766" w:rsidP="000450AE">
      <w:pPr>
        <w:ind w:left="1440" w:hanging="720"/>
        <w:jc w:val="both"/>
      </w:pPr>
    </w:p>
    <w:p w:rsidR="00744766" w:rsidRDefault="001263C7" w:rsidP="000450AE">
      <w:pPr>
        <w:ind w:left="1440" w:hanging="720"/>
        <w:jc w:val="both"/>
      </w:pPr>
      <w:r>
        <w:t>6.3</w:t>
      </w:r>
      <w:r>
        <w:tab/>
      </w:r>
      <w:r w:rsidRPr="001263C7">
        <w:t>The University shall not recognize or grant any other exceptions to the va</w:t>
      </w:r>
      <w:r>
        <w:t>ccination requirements of this p</w:t>
      </w:r>
      <w:r w:rsidRPr="001263C7">
        <w:t>olicy.</w:t>
      </w:r>
    </w:p>
    <w:p w:rsidR="001263C7" w:rsidRDefault="001263C7" w:rsidP="000450AE">
      <w:pPr>
        <w:ind w:left="1440" w:hanging="720"/>
        <w:jc w:val="both"/>
      </w:pPr>
    </w:p>
    <w:p w:rsidR="001263C7" w:rsidRPr="000450AE" w:rsidRDefault="001263C7" w:rsidP="000450AE">
      <w:pPr>
        <w:ind w:left="1440" w:hanging="720"/>
        <w:jc w:val="both"/>
      </w:pPr>
      <w:r>
        <w:t>6.4</w:t>
      </w:r>
      <w:r>
        <w:tab/>
      </w:r>
      <w:r w:rsidRPr="001263C7">
        <w:t>The documentation submitted in support of an exception under Section VII shall be securely maintained by the Responsible Party on behalf of the University in compliance with applicable state and federal confidentiality laws and regulations, including the Federal Education Rights and Privacy Act.</w:t>
      </w:r>
    </w:p>
    <w:p w:rsidR="00B45FC2" w:rsidRDefault="00B45FC2" w:rsidP="00802E21">
      <w:pPr>
        <w:jc w:val="both"/>
      </w:pPr>
    </w:p>
    <w:p w:rsidR="001263C7" w:rsidRPr="001263C7" w:rsidRDefault="001263C7" w:rsidP="00802E21">
      <w:pPr>
        <w:jc w:val="both"/>
        <w:rPr>
          <w:b/>
        </w:rPr>
      </w:pPr>
      <w:r w:rsidRPr="001263C7">
        <w:rPr>
          <w:b/>
        </w:rPr>
        <w:t>8.</w:t>
      </w:r>
      <w:r>
        <w:tab/>
      </w:r>
      <w:r>
        <w:rPr>
          <w:b/>
        </w:rPr>
        <w:t>Information to be Provided to Students.</w:t>
      </w:r>
    </w:p>
    <w:p w:rsidR="001263C7" w:rsidRDefault="001263C7" w:rsidP="00802E21">
      <w:pPr>
        <w:jc w:val="both"/>
      </w:pPr>
    </w:p>
    <w:p w:rsidR="001263C7" w:rsidRDefault="001263C7" w:rsidP="001263C7">
      <w:pPr>
        <w:ind w:left="720"/>
        <w:jc w:val="both"/>
      </w:pPr>
      <w:r>
        <w:t xml:space="preserve">The </w:t>
      </w:r>
      <w:r w:rsidRPr="001263C7">
        <w:rPr>
          <w:b/>
        </w:rPr>
        <w:t>[</w:t>
      </w:r>
      <w:r w:rsidRPr="001263C7">
        <w:rPr>
          <w:b/>
        </w:rPr>
        <w:t>insert</w:t>
      </w:r>
      <w:r w:rsidRPr="001263C7">
        <w:rPr>
          <w:b/>
        </w:rPr>
        <w:t xml:space="preserve"> office at the University that provides admissions material to prospective students]</w:t>
      </w:r>
      <w:r>
        <w:t xml:space="preserve"> shall include as part of the materials provided to individual applying for admission to the University:</w:t>
      </w:r>
    </w:p>
    <w:p w:rsidR="001263C7" w:rsidRDefault="001263C7" w:rsidP="001263C7">
      <w:pPr>
        <w:ind w:left="720"/>
        <w:jc w:val="both"/>
      </w:pPr>
    </w:p>
    <w:p w:rsidR="001263C7" w:rsidRDefault="001263C7" w:rsidP="001263C7">
      <w:pPr>
        <w:numPr>
          <w:ilvl w:val="0"/>
          <w:numId w:val="8"/>
        </w:numPr>
        <w:ind w:left="2160" w:hanging="720"/>
        <w:jc w:val="both"/>
      </w:pPr>
      <w:r>
        <w:t>written notice or electronic notice of the right of a student, or if a student is a minor, the right of the minor student’s parent or guardian, to claim an exemption from the Required Vaccine as p</w:t>
      </w:r>
      <w:r w:rsidR="001F4716">
        <w:t>rovided in Section 6 of this p</w:t>
      </w:r>
      <w:r>
        <w:t>olicy; and</w:t>
      </w:r>
    </w:p>
    <w:p w:rsidR="001263C7" w:rsidRDefault="001263C7" w:rsidP="001263C7">
      <w:pPr>
        <w:ind w:left="720"/>
        <w:jc w:val="both"/>
      </w:pPr>
    </w:p>
    <w:p w:rsidR="001263C7" w:rsidRDefault="001263C7" w:rsidP="001263C7">
      <w:pPr>
        <w:ind w:left="2160" w:hanging="720"/>
        <w:jc w:val="both"/>
      </w:pPr>
      <w:r>
        <w:t>(b)</w:t>
      </w:r>
      <w:r>
        <w:tab/>
        <w:t>written or electronic notice of the importance of consulting with a physician about the need for immunization against viral meningitis to prevent the disease.</w:t>
      </w:r>
      <w:bookmarkStart w:id="0" w:name="_GoBack"/>
      <w:bookmarkEnd w:id="0"/>
    </w:p>
    <w:p w:rsidR="001263C7" w:rsidRDefault="001263C7" w:rsidP="0014086A">
      <w:pPr>
        <w:keepNext/>
        <w:jc w:val="both"/>
        <w:rPr>
          <w:b/>
        </w:rPr>
      </w:pPr>
    </w:p>
    <w:p w:rsidR="0014086A" w:rsidRPr="00DA5330" w:rsidRDefault="001263C7" w:rsidP="0014086A">
      <w:pPr>
        <w:keepNext/>
        <w:jc w:val="both"/>
        <w:rPr>
          <w:b/>
        </w:rPr>
      </w:pPr>
      <w:r>
        <w:rPr>
          <w:b/>
        </w:rPr>
        <w:t>9</w:t>
      </w:r>
      <w:r w:rsidR="0014086A">
        <w:rPr>
          <w:b/>
        </w:rPr>
        <w:t>.</w:t>
      </w:r>
      <w:r w:rsidR="0014086A">
        <w:rPr>
          <w:b/>
        </w:rPr>
        <w:tab/>
      </w:r>
      <w:r w:rsidR="0014086A" w:rsidRPr="00DA5330">
        <w:rPr>
          <w:b/>
        </w:rPr>
        <w:t>Authority/Related Policies</w:t>
      </w:r>
      <w:r w:rsidR="005D6489">
        <w:rPr>
          <w:b/>
        </w:rPr>
        <w:t>.</w:t>
      </w:r>
    </w:p>
    <w:p w:rsidR="0014086A" w:rsidRPr="003D4578" w:rsidRDefault="0014086A" w:rsidP="0014086A">
      <w:pPr>
        <w:keepNext/>
        <w:jc w:val="both"/>
      </w:pPr>
    </w:p>
    <w:p w:rsidR="00A031C0" w:rsidRDefault="00A031C0" w:rsidP="00A031C0">
      <w:pPr>
        <w:ind w:left="720"/>
        <w:jc w:val="both"/>
      </w:pPr>
      <w:r>
        <w:t>Texas Education Code, Subchapter Z, Chapter 51, Section 51.9192, Bacterial Meningitis Vaccination Required for Certain Students; Exceptions</w:t>
      </w:r>
    </w:p>
    <w:p w:rsidR="00A031C0" w:rsidRDefault="00A031C0" w:rsidP="00A031C0">
      <w:pPr>
        <w:ind w:left="720"/>
        <w:jc w:val="both"/>
      </w:pPr>
    </w:p>
    <w:p w:rsidR="000450AE" w:rsidRPr="000450AE" w:rsidRDefault="00A031C0" w:rsidP="00A031C0">
      <w:pPr>
        <w:ind w:left="720"/>
        <w:jc w:val="both"/>
      </w:pPr>
      <w:r>
        <w:t>19 TAC Part</w:t>
      </w:r>
      <w:r>
        <w:t xml:space="preserve"> </w:t>
      </w:r>
      <w:r>
        <w:t xml:space="preserve">1, Texas Higher Education Coordinating Board, Chapter 21, Student Services. </w:t>
      </w:r>
      <w:r>
        <w:t xml:space="preserve"> </w:t>
      </w:r>
      <w:r>
        <w:t>Subchapter T, The Vaccination Against Bacterial Meningitis for Entering Students at Public and Private or Independent Institutions for Higher Education</w:t>
      </w:r>
    </w:p>
    <w:sectPr w:rsidR="000450AE" w:rsidRPr="000450AE" w:rsidSect="009B3BA8">
      <w:headerReference w:type="even" r:id="rId8"/>
      <w:footerReference w:type="even" r:id="rId9"/>
      <w:footerReference w:type="defaul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8A" w:rsidRDefault="001E3E8A">
      <w:r>
        <w:separator/>
      </w:r>
    </w:p>
  </w:endnote>
  <w:endnote w:type="continuationSeparator" w:id="0">
    <w:p w:rsidR="001E3E8A" w:rsidRDefault="001E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A" w:rsidRDefault="001E3E8A" w:rsidP="004F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3C0B">
      <w:rPr>
        <w:rStyle w:val="PageNumber"/>
        <w:noProof/>
      </w:rPr>
      <w:t>6</w:t>
    </w:r>
    <w:r>
      <w:rPr>
        <w:rStyle w:val="PageNumber"/>
      </w:rPr>
      <w:fldChar w:fldCharType="end"/>
    </w:r>
  </w:p>
  <w:p w:rsidR="001E3E8A" w:rsidRDefault="001E3E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A" w:rsidRDefault="001E3E8A" w:rsidP="004F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2B9C">
      <w:rPr>
        <w:rStyle w:val="PageNumber"/>
        <w:noProof/>
      </w:rPr>
      <w:t>6</w:t>
    </w:r>
    <w:r>
      <w:rPr>
        <w:rStyle w:val="PageNumber"/>
      </w:rPr>
      <w:fldChar w:fldCharType="end"/>
    </w:r>
  </w:p>
  <w:p w:rsidR="001E3E8A" w:rsidRDefault="001E3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8A" w:rsidRDefault="001E3E8A">
      <w:r>
        <w:separator/>
      </w:r>
    </w:p>
  </w:footnote>
  <w:footnote w:type="continuationSeparator" w:id="0">
    <w:p w:rsidR="001E3E8A" w:rsidRDefault="001E3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A" w:rsidRDefault="00042B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1C1"/>
    <w:multiLevelType w:val="multilevel"/>
    <w:tmpl w:val="AA96CDB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2520"/>
        </w:tabs>
        <w:ind w:left="2520" w:hanging="7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200"/>
        </w:tabs>
        <w:ind w:left="16200" w:hanging="1800"/>
      </w:pPr>
      <w:rPr>
        <w:rFonts w:hint="default"/>
      </w:rPr>
    </w:lvl>
  </w:abstractNum>
  <w:abstractNum w:abstractNumId="1">
    <w:nsid w:val="12155EB8"/>
    <w:multiLevelType w:val="hybridMultilevel"/>
    <w:tmpl w:val="B882F5CC"/>
    <w:lvl w:ilvl="0" w:tplc="13C839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4ED7D99"/>
    <w:multiLevelType w:val="hybridMultilevel"/>
    <w:tmpl w:val="E410BF5A"/>
    <w:lvl w:ilvl="0" w:tplc="FF7CDD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12718DD"/>
    <w:multiLevelType w:val="hybridMultilevel"/>
    <w:tmpl w:val="E5F2F060"/>
    <w:lvl w:ilvl="0" w:tplc="B2EE06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F853ECA"/>
    <w:multiLevelType w:val="hybridMultilevel"/>
    <w:tmpl w:val="8A3EE1EC"/>
    <w:lvl w:ilvl="0" w:tplc="129A21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6E4E33"/>
    <w:multiLevelType w:val="hybridMultilevel"/>
    <w:tmpl w:val="790C5B04"/>
    <w:lvl w:ilvl="0" w:tplc="A7421C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9E44709"/>
    <w:multiLevelType w:val="hybridMultilevel"/>
    <w:tmpl w:val="10749C74"/>
    <w:lvl w:ilvl="0" w:tplc="68D40F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302744A"/>
    <w:multiLevelType w:val="hybridMultilevel"/>
    <w:tmpl w:val="C634570E"/>
    <w:lvl w:ilvl="0" w:tplc="074E90A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22F"/>
    <w:rsid w:val="00032DB7"/>
    <w:rsid w:val="00042B9C"/>
    <w:rsid w:val="000450AE"/>
    <w:rsid w:val="00051AFC"/>
    <w:rsid w:val="00075E87"/>
    <w:rsid w:val="000D22CF"/>
    <w:rsid w:val="00110FE0"/>
    <w:rsid w:val="001263C7"/>
    <w:rsid w:val="0014086A"/>
    <w:rsid w:val="001B3DF0"/>
    <w:rsid w:val="001E3E8A"/>
    <w:rsid w:val="001E4FE4"/>
    <w:rsid w:val="001F4716"/>
    <w:rsid w:val="002473B3"/>
    <w:rsid w:val="00310F47"/>
    <w:rsid w:val="0033643E"/>
    <w:rsid w:val="0034114F"/>
    <w:rsid w:val="003706F4"/>
    <w:rsid w:val="0039722F"/>
    <w:rsid w:val="003B30E2"/>
    <w:rsid w:val="00424FF6"/>
    <w:rsid w:val="00436FB1"/>
    <w:rsid w:val="00455D23"/>
    <w:rsid w:val="00467936"/>
    <w:rsid w:val="004A4685"/>
    <w:rsid w:val="004F101C"/>
    <w:rsid w:val="0052457F"/>
    <w:rsid w:val="00563BEB"/>
    <w:rsid w:val="005D2956"/>
    <w:rsid w:val="005D6489"/>
    <w:rsid w:val="005E33C8"/>
    <w:rsid w:val="0063282D"/>
    <w:rsid w:val="00633B66"/>
    <w:rsid w:val="00663CD2"/>
    <w:rsid w:val="006B1EE3"/>
    <w:rsid w:val="006E3138"/>
    <w:rsid w:val="006E35E6"/>
    <w:rsid w:val="00715567"/>
    <w:rsid w:val="00744766"/>
    <w:rsid w:val="00746092"/>
    <w:rsid w:val="007B72E3"/>
    <w:rsid w:val="007C0B89"/>
    <w:rsid w:val="007D0799"/>
    <w:rsid w:val="007E6A64"/>
    <w:rsid w:val="00802E21"/>
    <w:rsid w:val="00805E14"/>
    <w:rsid w:val="00854910"/>
    <w:rsid w:val="008C0CB3"/>
    <w:rsid w:val="008D5E1D"/>
    <w:rsid w:val="008E52A1"/>
    <w:rsid w:val="008F10C2"/>
    <w:rsid w:val="0092290B"/>
    <w:rsid w:val="00930E90"/>
    <w:rsid w:val="00950307"/>
    <w:rsid w:val="009620F3"/>
    <w:rsid w:val="009852EE"/>
    <w:rsid w:val="009B3BA8"/>
    <w:rsid w:val="009D019D"/>
    <w:rsid w:val="009F183E"/>
    <w:rsid w:val="00A031C0"/>
    <w:rsid w:val="00A038CD"/>
    <w:rsid w:val="00A20E9A"/>
    <w:rsid w:val="00B07FDB"/>
    <w:rsid w:val="00B112BC"/>
    <w:rsid w:val="00B300ED"/>
    <w:rsid w:val="00B33D9C"/>
    <w:rsid w:val="00B45FC2"/>
    <w:rsid w:val="00B95DD9"/>
    <w:rsid w:val="00BB0572"/>
    <w:rsid w:val="00BF0ADD"/>
    <w:rsid w:val="00C00B91"/>
    <w:rsid w:val="00C02BA5"/>
    <w:rsid w:val="00C20925"/>
    <w:rsid w:val="00C34795"/>
    <w:rsid w:val="00C55062"/>
    <w:rsid w:val="00C70FF4"/>
    <w:rsid w:val="00C95FD7"/>
    <w:rsid w:val="00CA414C"/>
    <w:rsid w:val="00CB4D05"/>
    <w:rsid w:val="00CD525F"/>
    <w:rsid w:val="00CD5676"/>
    <w:rsid w:val="00CE6C82"/>
    <w:rsid w:val="00D05CED"/>
    <w:rsid w:val="00DA0B88"/>
    <w:rsid w:val="00DA4A97"/>
    <w:rsid w:val="00E100A7"/>
    <w:rsid w:val="00E27321"/>
    <w:rsid w:val="00E275BF"/>
    <w:rsid w:val="00E762E3"/>
    <w:rsid w:val="00F034E0"/>
    <w:rsid w:val="00F041BD"/>
    <w:rsid w:val="00F43EAD"/>
    <w:rsid w:val="00F73372"/>
    <w:rsid w:val="00F83C0B"/>
    <w:rsid w:val="00F840E8"/>
    <w:rsid w:val="00F85E90"/>
    <w:rsid w:val="00F87AA0"/>
    <w:rsid w:val="00FA0727"/>
    <w:rsid w:val="00FA5D35"/>
    <w:rsid w:val="00FC7D16"/>
    <w:rsid w:val="00FE0AF7"/>
    <w:rsid w:val="00FE0D16"/>
    <w:rsid w:val="00FF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2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rsid w:val="0039722F"/>
    <w:pPr>
      <w:ind w:left="4320" w:hanging="1080"/>
    </w:pPr>
    <w:rPr>
      <w:rFonts w:ascii="Arial" w:hAnsi="Arial"/>
      <w:szCs w:val="20"/>
    </w:rPr>
  </w:style>
  <w:style w:type="paragraph" w:styleId="BodyTextIndent">
    <w:name w:val="Body Text Indent"/>
    <w:basedOn w:val="Normal"/>
    <w:rsid w:val="0039722F"/>
    <w:pPr>
      <w:ind w:left="1800" w:hanging="1080"/>
    </w:pPr>
    <w:rPr>
      <w:rFonts w:ascii="Arial" w:hAnsi="Arial" w:cs="Arial"/>
    </w:rPr>
  </w:style>
  <w:style w:type="paragraph" w:styleId="BodyTextIndent2">
    <w:name w:val="Body Text Indent 2"/>
    <w:basedOn w:val="Normal"/>
    <w:rsid w:val="0039722F"/>
    <w:pPr>
      <w:ind w:left="2520" w:hanging="720"/>
    </w:pPr>
  </w:style>
  <w:style w:type="paragraph" w:styleId="BodyTextIndent3">
    <w:name w:val="Body Text Indent 3"/>
    <w:basedOn w:val="Normal"/>
    <w:rsid w:val="0039722F"/>
    <w:pPr>
      <w:ind w:left="2880" w:hanging="360"/>
    </w:pPr>
    <w:rPr>
      <w:rFonts w:ascii="Arial" w:hAnsi="Arial" w:cs="Arial"/>
    </w:rPr>
  </w:style>
  <w:style w:type="paragraph" w:styleId="DocumentMap">
    <w:name w:val="Document Map"/>
    <w:basedOn w:val="Normal"/>
    <w:semiHidden/>
    <w:rsid w:val="0039722F"/>
    <w:pPr>
      <w:shd w:val="clear" w:color="auto" w:fill="000080"/>
    </w:pPr>
    <w:rPr>
      <w:rFonts w:ascii="Tahoma" w:hAnsi="Tahoma" w:cs="Tahoma"/>
      <w:sz w:val="20"/>
      <w:szCs w:val="20"/>
    </w:rPr>
  </w:style>
  <w:style w:type="character" w:styleId="CommentReference">
    <w:name w:val="annotation reference"/>
    <w:semiHidden/>
    <w:rsid w:val="00B300ED"/>
    <w:rPr>
      <w:sz w:val="16"/>
      <w:szCs w:val="16"/>
    </w:rPr>
  </w:style>
  <w:style w:type="paragraph" w:styleId="CommentText">
    <w:name w:val="annotation text"/>
    <w:basedOn w:val="Normal"/>
    <w:semiHidden/>
    <w:rsid w:val="00B300ED"/>
    <w:rPr>
      <w:sz w:val="20"/>
      <w:szCs w:val="20"/>
    </w:rPr>
  </w:style>
  <w:style w:type="paragraph" w:styleId="CommentSubject">
    <w:name w:val="annotation subject"/>
    <w:basedOn w:val="CommentText"/>
    <w:next w:val="CommentText"/>
    <w:semiHidden/>
    <w:rsid w:val="00B300ED"/>
    <w:rPr>
      <w:b/>
      <w:bCs/>
    </w:rPr>
  </w:style>
  <w:style w:type="paragraph" w:styleId="BalloonText">
    <w:name w:val="Balloon Text"/>
    <w:basedOn w:val="Normal"/>
    <w:semiHidden/>
    <w:rsid w:val="00B300ED"/>
    <w:rPr>
      <w:rFonts w:ascii="Tahoma" w:hAnsi="Tahoma" w:cs="Tahoma"/>
      <w:sz w:val="16"/>
      <w:szCs w:val="16"/>
    </w:rPr>
  </w:style>
  <w:style w:type="paragraph" w:styleId="Header">
    <w:name w:val="header"/>
    <w:basedOn w:val="Normal"/>
    <w:rsid w:val="00B300ED"/>
    <w:pPr>
      <w:tabs>
        <w:tab w:val="center" w:pos="4320"/>
        <w:tab w:val="right" w:pos="8640"/>
      </w:tabs>
    </w:pPr>
  </w:style>
  <w:style w:type="paragraph" w:styleId="Footer">
    <w:name w:val="footer"/>
    <w:basedOn w:val="Normal"/>
    <w:link w:val="FooterChar"/>
    <w:uiPriority w:val="99"/>
    <w:rsid w:val="00B300ED"/>
    <w:pPr>
      <w:tabs>
        <w:tab w:val="center" w:pos="4320"/>
        <w:tab w:val="right" w:pos="8640"/>
      </w:tabs>
    </w:pPr>
  </w:style>
  <w:style w:type="character" w:styleId="PageNumber">
    <w:name w:val="page number"/>
    <w:basedOn w:val="DefaultParagraphFont"/>
    <w:rsid w:val="004F101C"/>
  </w:style>
  <w:style w:type="character" w:styleId="Hyperlink">
    <w:name w:val="Hyperlink"/>
    <w:rsid w:val="0014086A"/>
    <w:rPr>
      <w:color w:val="0000FF"/>
      <w:u w:val="single"/>
    </w:rPr>
  </w:style>
  <w:style w:type="paragraph" w:styleId="ListParagraph">
    <w:name w:val="List Paragraph"/>
    <w:basedOn w:val="Normal"/>
    <w:uiPriority w:val="34"/>
    <w:qFormat/>
    <w:rsid w:val="0063282D"/>
    <w:pPr>
      <w:ind w:left="720"/>
    </w:pPr>
  </w:style>
  <w:style w:type="character" w:customStyle="1" w:styleId="FooterChar">
    <w:name w:val="Footer Char"/>
    <w:link w:val="Footer"/>
    <w:uiPriority w:val="99"/>
    <w:rsid w:val="00BB05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1789</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MODEL POLICY</vt:lpstr>
    </vt:vector>
  </TitlesOfParts>
  <LinksUpToDate>false</LinksUpToDate>
  <CharactersWithSpaces>11597</CharactersWithSpaces>
  <SharedDoc>false</SharedDoc>
  <HLinks>
    <vt:vector size="6" baseType="variant">
      <vt:variant>
        <vt:i4>2818101</vt:i4>
      </vt:variant>
      <vt:variant>
        <vt:i4>0</vt:i4>
      </vt:variant>
      <vt:variant>
        <vt:i4>0</vt:i4>
      </vt:variant>
      <vt:variant>
        <vt:i4>5</vt:i4>
      </vt:variant>
      <vt:variant>
        <vt:lpwstr>http://www.utsystem.edu/bor/rules/30000Series/30601.doc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2012-02-23T15:46:00Z</cp:lastPrinted>
  <dcterms:created xsi:type="dcterms:W3CDTF">2012-02-21T16:17:00Z</dcterms:created>
  <dcterms:modified xsi:type="dcterms:W3CDTF">2012-02-23T19:37:00Z</dcterms:modified>
</cp:coreProperties>
</file>