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4D" w:rsidRDefault="008B3FD3" w:rsidP="008B3FD3">
      <w:pPr>
        <w:jc w:val="center"/>
        <w:rPr>
          <w:b/>
        </w:rPr>
      </w:pPr>
      <w:bookmarkStart w:id="0" w:name="_GoBack"/>
      <w:bookmarkEnd w:id="0"/>
      <w:r>
        <w:rPr>
          <w:b/>
        </w:rPr>
        <w:t xml:space="preserve">Overview on </w:t>
      </w:r>
      <w:r w:rsidR="00B9124D" w:rsidRPr="00B9124D">
        <w:rPr>
          <w:b/>
        </w:rPr>
        <w:t>HIPAA</w:t>
      </w:r>
      <w:r>
        <w:rPr>
          <w:b/>
        </w:rPr>
        <w:t xml:space="preserve"> </w:t>
      </w:r>
      <w:r w:rsidR="0094654F">
        <w:rPr>
          <w:b/>
        </w:rPr>
        <w:t>Compliance at</w:t>
      </w:r>
      <w:r>
        <w:rPr>
          <w:b/>
        </w:rPr>
        <w:t xml:space="preserve"> The University of Texas System</w:t>
      </w:r>
    </w:p>
    <w:p w:rsidR="008B3FD3" w:rsidRDefault="008B3FD3" w:rsidP="001C5671">
      <w:pPr>
        <w:pStyle w:val="NoSpacing"/>
        <w:jc w:val="center"/>
      </w:pPr>
      <w:r>
        <w:t>Barbara Holthaus</w:t>
      </w:r>
    </w:p>
    <w:p w:rsidR="008B3FD3" w:rsidRDefault="00E37697" w:rsidP="001C5671">
      <w:pPr>
        <w:pStyle w:val="NoSpacing"/>
        <w:jc w:val="center"/>
      </w:pPr>
      <w:r>
        <w:t>Assistant General Counsel</w:t>
      </w:r>
      <w:r w:rsidR="008B3FD3">
        <w:t>&amp; System</w:t>
      </w:r>
      <w:r w:rsidR="00747270">
        <w:t>-</w:t>
      </w:r>
      <w:r w:rsidR="008B3FD3">
        <w:t>wide Privacy Coordinator</w:t>
      </w:r>
    </w:p>
    <w:p w:rsidR="008B3FD3" w:rsidRDefault="008B3FD3" w:rsidP="001C5671">
      <w:pPr>
        <w:pStyle w:val="NoSpacing"/>
        <w:jc w:val="center"/>
      </w:pPr>
      <w:r>
        <w:t>Office of General Counsel</w:t>
      </w:r>
    </w:p>
    <w:p w:rsidR="008B3FD3" w:rsidRDefault="008B3FD3" w:rsidP="001C5671">
      <w:pPr>
        <w:pStyle w:val="NoSpacing"/>
        <w:jc w:val="center"/>
      </w:pPr>
      <w:r>
        <w:t>The University of Texas System</w:t>
      </w:r>
    </w:p>
    <w:p w:rsidR="008B3FD3" w:rsidRDefault="00E37697" w:rsidP="008B3FD3">
      <w:pPr>
        <w:pStyle w:val="NoSpacing"/>
        <w:jc w:val="center"/>
      </w:pPr>
      <w:r>
        <w:t>September 8,</w:t>
      </w:r>
      <w:r w:rsidR="00CD5BC9">
        <w:t xml:space="preserve"> 201</w:t>
      </w:r>
      <w:r>
        <w:t>5</w:t>
      </w:r>
    </w:p>
    <w:p w:rsidR="00CD5BC9" w:rsidRPr="00B9124D" w:rsidRDefault="00CD5BC9" w:rsidP="008B3FD3">
      <w:pPr>
        <w:pStyle w:val="NoSpacing"/>
        <w:jc w:val="center"/>
      </w:pPr>
    </w:p>
    <w:p w:rsidR="00B9124D" w:rsidRDefault="001C5671" w:rsidP="00B9124D">
      <w:r>
        <w:t>HIPPA commonly refers to t</w:t>
      </w:r>
      <w:r w:rsidR="00B9124D">
        <w:t>he Health Insurance Portability and Accountability Act of 1996 (HIPAA), as amended by The Health Information Technology for Economic and Clinical Health (HITECH) Act (Title XIII, Subtitle D of the American Recovery and Reinvestment Act (ARRA) of 2009</w:t>
      </w:r>
      <w:r w:rsidR="0003047C">
        <w:t xml:space="preserve">, and </w:t>
      </w:r>
      <w:r w:rsidR="0003047C" w:rsidRPr="0003047C">
        <w:t xml:space="preserve">regulations, issued by the </w:t>
      </w:r>
      <w:r w:rsidR="0003047C">
        <w:t xml:space="preserve">U.S. </w:t>
      </w:r>
      <w:r w:rsidR="0003047C" w:rsidRPr="0003047C">
        <w:t>Department of Health and Human Services (HHS)</w:t>
      </w:r>
      <w:r w:rsidR="00B9124D">
        <w:t xml:space="preserve">. </w:t>
      </w:r>
      <w:r>
        <w:t xml:space="preserve">HIPAA </w:t>
      </w:r>
      <w:r w:rsidR="00B9124D">
        <w:t xml:space="preserve">protects the privacy and security of individual health information used, transmitted, and retained for the provision and payment of health care services. This information is known as protected health information (PHI). </w:t>
      </w:r>
    </w:p>
    <w:p w:rsidR="001317B2" w:rsidRDefault="00B9124D" w:rsidP="00B9124D">
      <w:r>
        <w:t>PHI includes virtually any information from an individual’s medical records, records of payment for medical services made by or on behalf of a person (including insurance claims and reimbursements)</w:t>
      </w:r>
      <w:r w:rsidR="0003047C">
        <w:t>,</w:t>
      </w:r>
      <w:r>
        <w:t xml:space="preserve"> or information provided to a health care provider about </w:t>
      </w:r>
      <w:r w:rsidR="0003047C">
        <w:t>an</w:t>
      </w:r>
      <w:r>
        <w:t xml:space="preserve"> individual’s physical or mental health or condition that identifies or can be used to identify the individual.</w:t>
      </w:r>
      <w:r w:rsidR="00044074">
        <w:rPr>
          <w:rStyle w:val="FootnoteReference"/>
        </w:rPr>
        <w:footnoteReference w:id="1"/>
      </w:r>
      <w:r>
        <w:t xml:space="preserve"> </w:t>
      </w:r>
    </w:p>
    <w:p w:rsidR="00B9124D" w:rsidRDefault="00B9124D" w:rsidP="00B9124D">
      <w:r>
        <w:t>Typically</w:t>
      </w:r>
      <w:r w:rsidR="0003047C">
        <w:t>,</w:t>
      </w:r>
      <w:r>
        <w:t xml:space="preserve"> employment records and  student education records that contain health information or information about payment for health services about an individual, as well as student treatment records from System institution’s student health center or counseling centers</w:t>
      </w:r>
      <w:r w:rsidR="00E37697">
        <w:t>,</w:t>
      </w:r>
      <w:r>
        <w:t xml:space="preserve"> are exempt from HIPAA.  However, health and health payment records contained in an employment record </w:t>
      </w:r>
      <w:r w:rsidR="0003047C">
        <w:t xml:space="preserve">held by a UT System institution </w:t>
      </w:r>
      <w:r>
        <w:t>are subject to state privacy laws</w:t>
      </w:r>
      <w:r w:rsidR="0003047C">
        <w:t xml:space="preserve">. </w:t>
      </w:r>
      <w:r>
        <w:t xml:space="preserve"> </w:t>
      </w:r>
      <w:r w:rsidR="0003047C">
        <w:t>S</w:t>
      </w:r>
      <w:r>
        <w:t xml:space="preserve">tudent </w:t>
      </w:r>
      <w:r w:rsidR="0003047C">
        <w:t xml:space="preserve">education </w:t>
      </w:r>
      <w:r>
        <w:t>records are protected by another federal privacy law</w:t>
      </w:r>
      <w:r w:rsidR="0003047C">
        <w:t xml:space="preserve">, the Family Educational Records Privacy Act </w:t>
      </w:r>
      <w:r>
        <w:t xml:space="preserve">(FERPA), </w:t>
      </w:r>
      <w:r w:rsidR="0003047C">
        <w:t xml:space="preserve">while </w:t>
      </w:r>
      <w:r>
        <w:t xml:space="preserve">student treatment records are regulated by state medical </w:t>
      </w:r>
      <w:r w:rsidR="0003047C">
        <w:t xml:space="preserve">confidentiality </w:t>
      </w:r>
      <w:r>
        <w:t>laws.</w:t>
      </w:r>
    </w:p>
    <w:p w:rsidR="00B9124D" w:rsidRDefault="00B9124D" w:rsidP="00B9124D">
      <w:r>
        <w:t>HIPAA applies to</w:t>
      </w:r>
      <w:r w:rsidR="0003047C">
        <w:t xml:space="preserve"> all</w:t>
      </w:r>
      <w:r>
        <w:t xml:space="preserve"> health insurance plans</w:t>
      </w:r>
      <w:r w:rsidR="0003047C">
        <w:t xml:space="preserve"> </w:t>
      </w:r>
      <w:r>
        <w:t>and health care billing clearinghouses</w:t>
      </w:r>
      <w:r w:rsidR="0003047C">
        <w:t xml:space="preserve">, and to </w:t>
      </w:r>
      <w:r w:rsidR="0003047C" w:rsidRPr="0003047C">
        <w:t xml:space="preserve">health care providers (such as hospitals, physicians, and clinics) </w:t>
      </w:r>
      <w:r w:rsidR="0003047C">
        <w:t>that bill insurers electronically. These entities are collective called</w:t>
      </w:r>
      <w:r>
        <w:t xml:space="preserve"> “HIPAA Covered Entities”</w:t>
      </w:r>
      <w:r w:rsidR="0003047C">
        <w:t xml:space="preserve">. HIPAA also applies to </w:t>
      </w:r>
      <w:r>
        <w:t>third parties such as attorneys, information technology service providers</w:t>
      </w:r>
      <w:r w:rsidR="00044074">
        <w:t>, auditors,</w:t>
      </w:r>
      <w:r>
        <w:t xml:space="preserve"> and other service providers (“Business Associates”) who access a Covered Entity’s PHI in order to provide services. </w:t>
      </w:r>
    </w:p>
    <w:p w:rsidR="00B9124D" w:rsidRDefault="0003047C" w:rsidP="00B9124D">
      <w:r>
        <w:t xml:space="preserve">HHS </w:t>
      </w:r>
      <w:r w:rsidR="00B9124D">
        <w:t xml:space="preserve">implements HIPAA and enforces </w:t>
      </w:r>
      <w:r>
        <w:t xml:space="preserve">HIPAA </w:t>
      </w:r>
      <w:r w:rsidR="00B9124D">
        <w:t>through its Office of Civil Rights.  Civil violations are punishable by penalties that can run from a minimum of $100 to $50,000 per day of violation, with an annual cap of $1.5 million for the same violation in any one year. Criminal penalties can also be imposed that are applicable to individuals</w:t>
      </w:r>
      <w:r>
        <w:t xml:space="preserve"> for violations. </w:t>
      </w:r>
      <w:r w:rsidR="00B9124D">
        <w:t xml:space="preserve">In cases of “knowing misuse,” criminal penalties include monetary fines of $50,000 up to $250,000, and imprisonment of one (1) to ten (10) years. </w:t>
      </w:r>
    </w:p>
    <w:p w:rsidR="00B9124D" w:rsidRPr="00B9124D" w:rsidRDefault="00B9124D" w:rsidP="00B9124D">
      <w:pPr>
        <w:jc w:val="center"/>
        <w:rPr>
          <w:b/>
        </w:rPr>
      </w:pPr>
      <w:r w:rsidRPr="00B9124D">
        <w:rPr>
          <w:b/>
        </w:rPr>
        <w:lastRenderedPageBreak/>
        <w:t>THE HIPAA REGULATIONS</w:t>
      </w:r>
    </w:p>
    <w:p w:rsidR="00B9124D" w:rsidRDefault="00B9124D" w:rsidP="00B9124D">
      <w:r>
        <w:t>There are three main sets of HIPAA regulations that apply to Covered Entities and Business Associates:</w:t>
      </w:r>
    </w:p>
    <w:p w:rsidR="00B9124D" w:rsidRDefault="00B9124D" w:rsidP="00B9124D">
      <w:r w:rsidRPr="00B9124D">
        <w:rPr>
          <w:b/>
        </w:rPr>
        <w:t>The Privacy Rule</w:t>
      </w:r>
      <w:r>
        <w:t xml:space="preserve"> requires</w:t>
      </w:r>
      <w:r w:rsidR="00E37697">
        <w:t xml:space="preserve"> Covered Entities and Business Associate to adopt</w:t>
      </w:r>
      <w:r>
        <w:t xml:space="preserve"> appropriate safeguards to protect the privacy of personal health information (PHI), including individual medical records</w:t>
      </w:r>
      <w:r w:rsidR="0003047C">
        <w:t>;</w:t>
      </w:r>
      <w:r>
        <w:t xml:space="preserve"> and</w:t>
      </w:r>
      <w:r w:rsidR="0003047C">
        <w:t>,</w:t>
      </w:r>
      <w:r>
        <w:t xml:space="preserve"> set limits and conditions on the uses and disclosures that may be made of such information. The Privacy Rule also gives individuals rights over their health information, including </w:t>
      </w:r>
      <w:r w:rsidR="0003047C">
        <w:t xml:space="preserve">the </w:t>
      </w:r>
      <w:r>
        <w:t xml:space="preserve">right to examine and obtain a copy of their health records, and to request corrections. In general, unless the individual has </w:t>
      </w:r>
      <w:r w:rsidR="0003047C">
        <w:t>provided written consent (called an “Authorization”)</w:t>
      </w:r>
      <w:r>
        <w:t xml:space="preserve">, </w:t>
      </w:r>
      <w:r w:rsidR="0003047C">
        <w:t xml:space="preserve">an individual’s </w:t>
      </w:r>
      <w:r>
        <w:t>PHI can only be accessed by a member of the workforce of a Covered Entity or Business Associate for treatment</w:t>
      </w:r>
      <w:r w:rsidR="0003047C">
        <w:t xml:space="preserve"> or</w:t>
      </w:r>
      <w:r>
        <w:t xml:space="preserve"> payment </w:t>
      </w:r>
      <w:r w:rsidR="0003047C">
        <w:t>purposes or to perform</w:t>
      </w:r>
      <w:r>
        <w:t xml:space="preserve"> specific health care operations.  </w:t>
      </w:r>
      <w:r w:rsidR="0003047C">
        <w:t xml:space="preserve">PHI </w:t>
      </w:r>
      <w:r>
        <w:t xml:space="preserve">can only be released to third parties outside the </w:t>
      </w:r>
      <w:r w:rsidR="0003047C">
        <w:t>Covered E</w:t>
      </w:r>
      <w:r>
        <w:t>ntity</w:t>
      </w:r>
      <w:r w:rsidR="00C94075">
        <w:t xml:space="preserve"> or Business Associate</w:t>
      </w:r>
      <w:r>
        <w:t xml:space="preserve"> under specific exceptions permitted by the Privacy Rule. Examples of these exceptions include disclosures and access</w:t>
      </w:r>
      <w:r w:rsidR="0003047C">
        <w:t>:</w:t>
      </w:r>
      <w:r>
        <w:t xml:space="preserve"> required </w:t>
      </w:r>
      <w:r w:rsidR="00044074">
        <w:t>to defend the Covered Entity in a legal action brought by a patient of the Covered Entity</w:t>
      </w:r>
      <w:r w:rsidR="0003047C">
        <w:t xml:space="preserve">; required by law, or </w:t>
      </w:r>
      <w:r w:rsidR="00C94075">
        <w:t xml:space="preserve">for </w:t>
      </w:r>
      <w:r>
        <w:t>health and safety or law enforcement purposes</w:t>
      </w:r>
      <w:r w:rsidR="0003047C">
        <w:t xml:space="preserve">; </w:t>
      </w:r>
      <w:r>
        <w:t>pursuant to a valid subpoena or court order</w:t>
      </w:r>
      <w:r w:rsidR="0003047C">
        <w:t>;</w:t>
      </w:r>
      <w:r>
        <w:t xml:space="preserve"> or</w:t>
      </w:r>
      <w:r w:rsidR="0003047C">
        <w:t>,</w:t>
      </w:r>
      <w:r>
        <w:t xml:space="preserve"> to prevent potential harm to the individual or others</w:t>
      </w:r>
      <w:r w:rsidR="00044074">
        <w:t>.</w:t>
      </w:r>
    </w:p>
    <w:p w:rsidR="00B9124D" w:rsidRDefault="00B9124D" w:rsidP="00B9124D">
      <w:r w:rsidRPr="00B9124D">
        <w:rPr>
          <w:b/>
        </w:rPr>
        <w:t>The Security Rule</w:t>
      </w:r>
      <w:r>
        <w:t xml:space="preserve"> requires the implementation of physical, administrative and technological safeguards to ensure confidentiality and data integrity of electronic PHI, and to prevent unauthorized use of and guard against physical hazards to electronic PHI.  The</w:t>
      </w:r>
      <w:r w:rsidR="0003047C">
        <w:t xml:space="preserve"> Security </w:t>
      </w:r>
      <w:r>
        <w:t xml:space="preserve">Rule requires Covered Entities </w:t>
      </w:r>
      <w:r w:rsidR="00C94075">
        <w:t xml:space="preserve">and Business Associates </w:t>
      </w:r>
      <w:r>
        <w:t>to:</w:t>
      </w:r>
    </w:p>
    <w:p w:rsidR="00B9124D" w:rsidRDefault="00B9124D" w:rsidP="00280FE8">
      <w:pPr>
        <w:pStyle w:val="NoSpacing"/>
        <w:ind w:left="720" w:hanging="720"/>
      </w:pPr>
      <w:r>
        <w:t>•</w:t>
      </w:r>
      <w:r>
        <w:tab/>
        <w:t>Ensure the confidentiality, integrity, and availability of all e-PHI they create, receive, maintain or transmit;</w:t>
      </w:r>
    </w:p>
    <w:p w:rsidR="00B9124D" w:rsidRDefault="00B9124D" w:rsidP="00280FE8">
      <w:pPr>
        <w:pStyle w:val="NoSpacing"/>
        <w:ind w:left="720" w:hanging="720"/>
      </w:pPr>
      <w:r>
        <w:t>•</w:t>
      </w:r>
      <w:r>
        <w:tab/>
        <w:t>Identify and protect against reasonably anticipated threats to the security or integrity of the information;</w:t>
      </w:r>
    </w:p>
    <w:p w:rsidR="00B9124D" w:rsidRDefault="00B9124D" w:rsidP="00280FE8">
      <w:pPr>
        <w:pStyle w:val="NoSpacing"/>
      </w:pPr>
      <w:r>
        <w:t>•</w:t>
      </w:r>
      <w:r>
        <w:tab/>
        <w:t>Protect against reasonably anticipated, impermissible uses or disclosures; and</w:t>
      </w:r>
    </w:p>
    <w:p w:rsidR="00B9124D" w:rsidRDefault="00B9124D" w:rsidP="00280FE8">
      <w:pPr>
        <w:pStyle w:val="NoSpacing"/>
        <w:ind w:left="720" w:hanging="720"/>
      </w:pPr>
      <w:r>
        <w:t>•</w:t>
      </w:r>
      <w:r>
        <w:tab/>
        <w:t>Ensure compliance by employees, officers and volunteers who are part of the Covered Entity or Business Associate’s workforce</w:t>
      </w:r>
      <w:r w:rsidR="00E37697">
        <w:t>.</w:t>
      </w:r>
      <w:r>
        <w:t xml:space="preserve"> </w:t>
      </w:r>
    </w:p>
    <w:p w:rsidR="00280FE8" w:rsidRDefault="00280FE8" w:rsidP="00280FE8">
      <w:pPr>
        <w:pStyle w:val="NoSpacing"/>
      </w:pPr>
    </w:p>
    <w:p w:rsidR="00B9124D" w:rsidRDefault="00B9124D" w:rsidP="00B9124D">
      <w:r w:rsidRPr="00B9124D">
        <w:rPr>
          <w:b/>
        </w:rPr>
        <w:t>The Breach Rule</w:t>
      </w:r>
      <w:r>
        <w:t xml:space="preserve"> requires Covered Entities and their Business Associates to investigate and mitigate any security or other incidents that involve potential </w:t>
      </w:r>
      <w:r w:rsidR="00C94075">
        <w:t>unauthorized access</w:t>
      </w:r>
      <w:r>
        <w:t xml:space="preserve"> </w:t>
      </w:r>
      <w:r w:rsidR="00044074">
        <w:t>to</w:t>
      </w:r>
      <w:r w:rsidR="00C94075">
        <w:t>,</w:t>
      </w:r>
      <w:r w:rsidR="00044074">
        <w:t xml:space="preserve"> or use or disclosure </w:t>
      </w:r>
      <w:r>
        <w:t>of</w:t>
      </w:r>
      <w:r w:rsidR="00C94075">
        <w:t>,</w:t>
      </w:r>
      <w:r>
        <w:t xml:space="preserve"> PHI. Except in very limited instances, any unauthorized access to a Covered Entity’s PHI constitutes a breach. Breaches that impact fewer than 500 individuals must be reported to impacted individuals within 60 days of discovery and reported on an annual basis to HHS. Breaches that impact 500 or more individuals must be reported to HHS, the media</w:t>
      </w:r>
      <w:r w:rsidR="00C94075">
        <w:t>,</w:t>
      </w:r>
      <w:r>
        <w:t xml:space="preserve"> and the impacted individuals within 60 days of discovery. </w:t>
      </w:r>
    </w:p>
    <w:p w:rsidR="00B9124D" w:rsidRDefault="00280FE8" w:rsidP="00280FE8">
      <w:pPr>
        <w:jc w:val="center"/>
        <w:rPr>
          <w:b/>
        </w:rPr>
      </w:pPr>
      <w:r w:rsidRPr="00280FE8">
        <w:rPr>
          <w:b/>
        </w:rPr>
        <w:t>HOW HIPAA COMPLIANCE WORKS AT UT SYSTEM</w:t>
      </w:r>
    </w:p>
    <w:p w:rsidR="001317B2" w:rsidRDefault="00C6273C" w:rsidP="00C6273C">
      <w:r w:rsidRPr="00C6273C">
        <w:t xml:space="preserve">Due to the diversity of the missions </w:t>
      </w:r>
      <w:r w:rsidR="00C94075">
        <w:t>of</w:t>
      </w:r>
      <w:r w:rsidRPr="00C6273C">
        <w:t xml:space="preserve"> the nine academic institutions, the six health science centers</w:t>
      </w:r>
      <w:r w:rsidR="00C94075">
        <w:t>,</w:t>
      </w:r>
      <w:r w:rsidRPr="00C6273C">
        <w:t xml:space="preserve"> and the offices </w:t>
      </w:r>
      <w:r w:rsidR="00C94075">
        <w:t xml:space="preserve">that comprise </w:t>
      </w:r>
      <w:r w:rsidRPr="00C6273C">
        <w:t>UT System</w:t>
      </w:r>
      <w:r>
        <w:t xml:space="preserve"> Administration, UT System </w:t>
      </w:r>
      <w:r w:rsidR="001317B2">
        <w:t xml:space="preserve">does not </w:t>
      </w:r>
      <w:r>
        <w:t xml:space="preserve">operate as a single entity for HIPAA compliance purposes.  </w:t>
      </w:r>
    </w:p>
    <w:p w:rsidR="001317B2" w:rsidRDefault="001317B2" w:rsidP="00C6273C">
      <w:r>
        <w:lastRenderedPageBreak/>
        <w:t>The following institutions are not subject to HIPAA at all:</w:t>
      </w:r>
      <w:r w:rsidR="00C6273C">
        <w:t xml:space="preserve"> </w:t>
      </w:r>
      <w:r w:rsidR="00CA51A6" w:rsidRPr="00CA51A6">
        <w:t xml:space="preserve">The University of Texas </w:t>
      </w:r>
      <w:r w:rsidR="00CA51A6">
        <w:t>at</w:t>
      </w:r>
      <w:r w:rsidR="00C6273C">
        <w:t xml:space="preserve"> San Antonio, </w:t>
      </w:r>
      <w:r w:rsidR="008B3FD3" w:rsidRPr="008B3FD3">
        <w:t>The University of Texas</w:t>
      </w:r>
      <w:r w:rsidR="00E37697">
        <w:t xml:space="preserve"> at Arlington</w:t>
      </w:r>
      <w:r w:rsidR="001C5671">
        <w:t>,</w:t>
      </w:r>
      <w:r w:rsidR="008B3FD3" w:rsidRPr="008B3FD3">
        <w:t xml:space="preserve"> The University of Texas </w:t>
      </w:r>
      <w:r w:rsidR="008B3FD3">
        <w:t xml:space="preserve">at </w:t>
      </w:r>
      <w:r w:rsidR="00C6273C">
        <w:t xml:space="preserve">El Paso, and </w:t>
      </w:r>
      <w:r w:rsidR="008B3FD3" w:rsidRPr="008B3FD3">
        <w:t xml:space="preserve">The University of Texas </w:t>
      </w:r>
      <w:r w:rsidR="008B3FD3">
        <w:t xml:space="preserve">at </w:t>
      </w:r>
      <w:r w:rsidR="00C6273C">
        <w:t>Tyler</w:t>
      </w:r>
      <w:r>
        <w:t>. None of these institutions</w:t>
      </w:r>
      <w:r w:rsidR="00C6273C">
        <w:t xml:space="preserve"> </w:t>
      </w:r>
      <w:r w:rsidR="008B3FD3">
        <w:t xml:space="preserve">currently </w:t>
      </w:r>
      <w:r w:rsidR="00C6273C">
        <w:t>engage in any health care operations that are subject to HIPAA</w:t>
      </w:r>
      <w:r w:rsidR="008B3FD3">
        <w:t xml:space="preserve"> or </w:t>
      </w:r>
      <w:r w:rsidR="00D67560">
        <w:t>create of maintain PHI</w:t>
      </w:r>
      <w:r>
        <w:t>.</w:t>
      </w:r>
      <w:r w:rsidR="00D67560">
        <w:t xml:space="preserve"> </w:t>
      </w:r>
      <w:r w:rsidR="00C94075" w:rsidRPr="00C94075">
        <w:t>The University of Texas of the Permian Basin</w:t>
      </w:r>
      <w:r w:rsidR="00C94075">
        <w:t xml:space="preserve"> serves as the Business Associate of another state agency that is a HIPAA Covered Entity and has compliance duties limited to the PHI it accesses on behalf of that Covered Entity. </w:t>
      </w:r>
    </w:p>
    <w:p w:rsidR="00C6273C" w:rsidRDefault="008B3FD3" w:rsidP="00C6273C">
      <w:r w:rsidRPr="008B3FD3">
        <w:t xml:space="preserve">The University of Texas </w:t>
      </w:r>
      <w:r>
        <w:t xml:space="preserve">at </w:t>
      </w:r>
      <w:r w:rsidR="00D67560">
        <w:t xml:space="preserve">Arlington at one point </w:t>
      </w:r>
      <w:r w:rsidR="00EE2333">
        <w:t>provide</w:t>
      </w:r>
      <w:r w:rsidR="00E37697">
        <w:t>d</w:t>
      </w:r>
      <w:r w:rsidR="00EE2333">
        <w:t xml:space="preserve"> services that required it to </w:t>
      </w:r>
      <w:r w:rsidR="00D67560">
        <w:t>compl</w:t>
      </w:r>
      <w:r w:rsidR="001C5671">
        <w:t>y</w:t>
      </w:r>
      <w:r w:rsidR="00D67560">
        <w:t xml:space="preserve"> with HIPAA</w:t>
      </w:r>
      <w:r w:rsidR="00C94075">
        <w:t>,</w:t>
      </w:r>
      <w:r w:rsidR="00D67560">
        <w:t xml:space="preserve"> but no longer does</w:t>
      </w:r>
      <w:r w:rsidR="00C94075">
        <w:t xml:space="preserve"> so</w:t>
      </w:r>
      <w:r w:rsidR="00D67560">
        <w:t>.  Therefore, it has some remaining compliance duties as to records that are subject to</w:t>
      </w:r>
      <w:r w:rsidR="003C2ADD">
        <w:t xml:space="preserve"> HIPAA and still being held by the University under record retention requirements</w:t>
      </w:r>
      <w:r w:rsidR="00EE2333">
        <w:t>,</w:t>
      </w:r>
      <w:r w:rsidR="003C2ADD">
        <w:t xml:space="preserve"> but it has no active HIPAA compliance duties.</w:t>
      </w:r>
    </w:p>
    <w:p w:rsidR="00D67560" w:rsidRDefault="00D67560" w:rsidP="00C6273C">
      <w:r>
        <w:t xml:space="preserve">All of the six health science institutions- </w:t>
      </w:r>
      <w:r w:rsidR="00CA51A6" w:rsidRPr="00CA51A6">
        <w:t xml:space="preserve">The University of Texas </w:t>
      </w:r>
      <w:r>
        <w:t>MD Anderson Cancer Center,</w:t>
      </w:r>
      <w:r w:rsidR="00CA51A6">
        <w:t xml:space="preserve"> The University of Texas </w:t>
      </w:r>
      <w:r w:rsidR="003C2ADD">
        <w:t xml:space="preserve">Medical Branch Galveston, </w:t>
      </w:r>
      <w:r w:rsidR="00CA51A6" w:rsidRPr="00CA51A6">
        <w:t xml:space="preserve">The University of Texas </w:t>
      </w:r>
      <w:r>
        <w:t xml:space="preserve">Southwest Medical Center,  </w:t>
      </w:r>
      <w:r w:rsidR="00CA51A6" w:rsidRPr="00CA51A6">
        <w:t xml:space="preserve">The University of Texas </w:t>
      </w:r>
      <w:r>
        <w:t xml:space="preserve">Health Science Center Houston, </w:t>
      </w:r>
      <w:r w:rsidR="00CA51A6" w:rsidRPr="00CA51A6">
        <w:t xml:space="preserve">The University of Texas </w:t>
      </w:r>
      <w:r w:rsidR="00CA51A6">
        <w:t>H</w:t>
      </w:r>
      <w:r>
        <w:t xml:space="preserve">ealth Science Center San Antonio, </w:t>
      </w:r>
      <w:r w:rsidR="00CA51A6">
        <w:t xml:space="preserve">and </w:t>
      </w:r>
      <w:r w:rsidR="00CA51A6" w:rsidRPr="00CA51A6">
        <w:t>The University of Texas</w:t>
      </w:r>
      <w:r w:rsidR="00CA51A6">
        <w:t xml:space="preserve"> </w:t>
      </w:r>
      <w:r w:rsidRPr="00D67560">
        <w:t>H</w:t>
      </w:r>
      <w:r>
        <w:t xml:space="preserve">ealth Science Center Tyler </w:t>
      </w:r>
      <w:r w:rsidR="003C2ADD">
        <w:t xml:space="preserve">are </w:t>
      </w:r>
      <w:r>
        <w:t>HIPAA Covered Entit</w:t>
      </w:r>
      <w:r w:rsidR="003C2ADD">
        <w:t xml:space="preserve">ies. Each of them </w:t>
      </w:r>
      <w:r>
        <w:t>provide</w:t>
      </w:r>
      <w:r w:rsidR="00CA51A6">
        <w:t>s</w:t>
      </w:r>
      <w:r>
        <w:t xml:space="preserve"> health care services that involve the creation and maintenance of PHI through </w:t>
      </w:r>
      <w:r w:rsidR="003C2ADD">
        <w:t xml:space="preserve">the operations of </w:t>
      </w:r>
      <w:r>
        <w:t>hospital</w:t>
      </w:r>
      <w:r w:rsidR="003C2ADD">
        <w:t>s</w:t>
      </w:r>
      <w:r>
        <w:t>, physic</w:t>
      </w:r>
      <w:r w:rsidR="003C2ADD">
        <w:t>i</w:t>
      </w:r>
      <w:r>
        <w:t>ans’ practice plans</w:t>
      </w:r>
      <w:r w:rsidR="00C94075">
        <w:t>,</w:t>
      </w:r>
      <w:r>
        <w:t xml:space="preserve"> and</w:t>
      </w:r>
      <w:r w:rsidR="00C94075">
        <w:t>/or</w:t>
      </w:r>
      <w:r>
        <w:t xml:space="preserve"> </w:t>
      </w:r>
      <w:r w:rsidR="003C2ADD">
        <w:t xml:space="preserve">the provision of </w:t>
      </w:r>
      <w:r>
        <w:t>other health care related services</w:t>
      </w:r>
      <w:r w:rsidR="00CA51A6">
        <w:t xml:space="preserve"> that is subject to HIPAA</w:t>
      </w:r>
      <w:r w:rsidR="00EF4E7F">
        <w:t>.</w:t>
      </w:r>
      <w:r>
        <w:t xml:space="preserve"> </w:t>
      </w:r>
    </w:p>
    <w:p w:rsidR="003C2ADD" w:rsidRDefault="00280FE8" w:rsidP="00280FE8">
      <w:r>
        <w:t>UT System Administration</w:t>
      </w:r>
      <w:r w:rsidR="0058643A">
        <w:rPr>
          <w:rStyle w:val="FootnoteReference"/>
        </w:rPr>
        <w:footnoteReference w:id="2"/>
      </w:r>
      <w:r w:rsidR="003C2ADD">
        <w:t>, UT Austin</w:t>
      </w:r>
      <w:r w:rsidR="003C2ADD">
        <w:rPr>
          <w:rStyle w:val="FootnoteReference"/>
        </w:rPr>
        <w:footnoteReference w:id="3"/>
      </w:r>
      <w:r w:rsidR="0058643A">
        <w:t>,</w:t>
      </w:r>
      <w:r w:rsidR="003C2ADD">
        <w:t xml:space="preserve"> and UT Dallas</w:t>
      </w:r>
      <w:r w:rsidR="0058643A">
        <w:rPr>
          <w:rStyle w:val="FootnoteReference"/>
        </w:rPr>
        <w:footnoteReference w:id="4"/>
      </w:r>
      <w:r w:rsidR="003C2ADD">
        <w:t xml:space="preserve"> are each</w:t>
      </w:r>
      <w:r>
        <w:t xml:space="preserve"> designated as a Hybrid Entity under HIPAA.  </w:t>
      </w:r>
      <w:r w:rsidR="00E37697">
        <w:t xml:space="preserve">UT Rio Grande Valley has not yet designated a HIPAA Covered Entity, but will most likely be a Hybrid Entity, as well. </w:t>
      </w:r>
      <w:r>
        <w:t>Th</w:t>
      </w:r>
      <w:r w:rsidR="00E37697">
        <w:t xml:space="preserve">is </w:t>
      </w:r>
      <w:r>
        <w:t>means that some of</w:t>
      </w:r>
      <w:r w:rsidR="003C2ADD">
        <w:t xml:space="preserve"> their </w:t>
      </w:r>
      <w:r>
        <w:t>offices are required to comply with HIPAA and some are not.</w:t>
      </w:r>
      <w:r w:rsidR="00C94075">
        <w:t xml:space="preserve"> Offices within a Hybrid Entity that access PHI must be designated as the Hybrid Entity’s “Health Care Component.</w:t>
      </w:r>
      <w:r>
        <w:t xml:space="preserve">  PHI can be shared freely within </w:t>
      </w:r>
      <w:r w:rsidR="00C94075">
        <w:t xml:space="preserve">the </w:t>
      </w:r>
      <w:r>
        <w:t>Health Care Component to perform health care related business functions</w:t>
      </w:r>
      <w:r w:rsidR="00C94075">
        <w:t>. However</w:t>
      </w:r>
      <w:r>
        <w:t>, PHI can</w:t>
      </w:r>
      <w:r w:rsidR="0049568F">
        <w:t>not</w:t>
      </w:r>
      <w:r>
        <w:t xml:space="preserve"> be shared outside of these offices, even with other offices at</w:t>
      </w:r>
      <w:r w:rsidR="003C2ADD">
        <w:t xml:space="preserve"> the same institution,</w:t>
      </w:r>
      <w:r w:rsidR="001317B2">
        <w:t xml:space="preserve"> absent a </w:t>
      </w:r>
      <w:r w:rsidR="0049568F">
        <w:t xml:space="preserve">signed an authorization consenting to the release </w:t>
      </w:r>
      <w:r>
        <w:t>or under specific exceptions permitted by HIPAA.  </w:t>
      </w:r>
    </w:p>
    <w:p w:rsidR="003C2ADD" w:rsidRDefault="003C2ADD" w:rsidP="00280FE8">
      <w:r>
        <w:t xml:space="preserve">Each of the </w:t>
      </w:r>
      <w:r w:rsidR="0058643A">
        <w:t xml:space="preserve">Covered or Hybrid Entity </w:t>
      </w:r>
      <w:r w:rsidR="001317B2">
        <w:t xml:space="preserve">within System </w:t>
      </w:r>
      <w:proofErr w:type="gramStart"/>
      <w:r w:rsidR="001317B2">
        <w:t>are</w:t>
      </w:r>
      <w:proofErr w:type="gramEnd"/>
      <w:r w:rsidR="001317B2">
        <w:t xml:space="preserve"> individually and </w:t>
      </w:r>
      <w:r w:rsidR="0058643A">
        <w:t xml:space="preserve">directly subject to the jurisdiction of HHS. Each </w:t>
      </w:r>
      <w:r>
        <w:t>ha</w:t>
      </w:r>
      <w:r w:rsidR="0058643A">
        <w:t>s its</w:t>
      </w:r>
      <w:r>
        <w:t xml:space="preserve"> own separate HIPAA compliance programs and policies that reflect the institutions unique configurations</w:t>
      </w:r>
      <w:r w:rsidR="0058643A">
        <w:t xml:space="preserve"> its own HIPAA Privacy and Security Officers.</w:t>
      </w:r>
      <w:r>
        <w:t xml:space="preserve"> </w:t>
      </w:r>
    </w:p>
    <w:p w:rsidR="001317B2" w:rsidRDefault="0058643A" w:rsidP="00280FE8">
      <w:r>
        <w:lastRenderedPageBreak/>
        <w:t xml:space="preserve">Because each UT System institution subject to HIPAA is a separate legal entity, PHI cannot be shared among </w:t>
      </w:r>
      <w:r w:rsidR="001317B2">
        <w:t>any of the</w:t>
      </w:r>
      <w:r>
        <w:t xml:space="preserve"> institutions </w:t>
      </w:r>
      <w:r w:rsidR="001317B2">
        <w:t xml:space="preserve">or with System Administration offices absent a </w:t>
      </w:r>
      <w:r>
        <w:t>signed authorization</w:t>
      </w:r>
      <w:r w:rsidR="001317B2">
        <w:t xml:space="preserve"> from the patient or an applicable </w:t>
      </w:r>
      <w:r w:rsidR="00852333">
        <w:t>exception within the Privacy Rules that would permit it to be disclosed</w:t>
      </w:r>
      <w:r w:rsidR="001317B2">
        <w:t>.</w:t>
      </w:r>
      <w:r w:rsidR="001317B2">
        <w:rPr>
          <w:rStyle w:val="FootnoteReference"/>
        </w:rPr>
        <w:footnoteReference w:id="5"/>
      </w:r>
      <w:r w:rsidR="001317B2">
        <w:t xml:space="preserve"> Information that has been</w:t>
      </w:r>
      <w:r>
        <w:t xml:space="preserve"> de-identified to remove all potential identifiers</w:t>
      </w:r>
      <w:r w:rsidR="00311241">
        <w:t xml:space="preserve"> is not considered to be PHI and can also disclosed and used generally without restriction</w:t>
      </w:r>
      <w:r>
        <w:t xml:space="preserve">.  </w:t>
      </w:r>
    </w:p>
    <w:p w:rsidR="001317B2" w:rsidRDefault="001317B2" w:rsidP="00280FE8">
      <w:r>
        <w:t>Some offices within System Administration, such as the Office of General Cou</w:t>
      </w:r>
      <w:r w:rsidR="000E5612">
        <w:t>n</w:t>
      </w:r>
      <w:r>
        <w:t>sel</w:t>
      </w:r>
      <w:r w:rsidR="00CD5BC9">
        <w:t>,</w:t>
      </w:r>
      <w:r w:rsidR="00044074">
        <w:rPr>
          <w:rStyle w:val="FootnoteReference"/>
        </w:rPr>
        <w:footnoteReference w:id="6"/>
      </w:r>
      <w:r>
        <w:t xml:space="preserve"> </w:t>
      </w:r>
      <w:r w:rsidR="00EE2333">
        <w:t>are required to</w:t>
      </w:r>
      <w:r>
        <w:t xml:space="preserve"> provide services to </w:t>
      </w:r>
      <w:r w:rsidR="000E5612">
        <w:t>System Institutions that are Covered Entities. The</w:t>
      </w:r>
      <w:r w:rsidR="00311241">
        <w:t>se offices</w:t>
      </w:r>
      <w:r w:rsidR="000E5612">
        <w:t xml:space="preserve"> can access these institutions’ PHI under the HIPAA </w:t>
      </w:r>
      <w:r w:rsidR="00311241">
        <w:t>“</w:t>
      </w:r>
      <w:r w:rsidR="000E5612">
        <w:t>Business Associate</w:t>
      </w:r>
      <w:r w:rsidR="00311241">
        <w:t>”</w:t>
      </w:r>
      <w:r w:rsidR="000E5612">
        <w:t xml:space="preserve"> exception. This exception allows a person or entity that provid</w:t>
      </w:r>
      <w:r w:rsidR="00EE2333">
        <w:t>es</w:t>
      </w:r>
      <w:r w:rsidR="000E5612">
        <w:t xml:space="preserve"> services to a Covered Entity to access the Covered Entity’s PHI</w:t>
      </w:r>
      <w:r w:rsidR="00311241">
        <w:t xml:space="preserve">, but only for the purpose of providing the services. The Business Associate must have a HIPAA compliant </w:t>
      </w:r>
      <w:r w:rsidR="00311241" w:rsidRPr="00311241">
        <w:t xml:space="preserve">Business Associate </w:t>
      </w:r>
      <w:r w:rsidR="00311241">
        <w:t xml:space="preserve">Agreement </w:t>
      </w:r>
      <w:r w:rsidR="00311241" w:rsidRPr="00311241">
        <w:t xml:space="preserve">or MOU </w:t>
      </w:r>
      <w:r w:rsidR="00311241">
        <w:t xml:space="preserve">with the Covered Entity and cannot share the PHI </w:t>
      </w:r>
      <w:r w:rsidR="00EE2333">
        <w:t xml:space="preserve">it accesses under the Agreement </w:t>
      </w:r>
      <w:r w:rsidR="00311241">
        <w:t>internally</w:t>
      </w:r>
      <w:r w:rsidR="00CD5BC9">
        <w:t xml:space="preserve"> outside of its Health Care Component</w:t>
      </w:r>
      <w:r w:rsidR="00311241">
        <w:t xml:space="preserve"> or with outside parties</w:t>
      </w:r>
      <w:r w:rsidR="00CD5BC9">
        <w:t>,</w:t>
      </w:r>
      <w:r w:rsidR="00311241">
        <w:t xml:space="preserve"> except as expressly permitted by the Business Associate Agreement or MOU</w:t>
      </w:r>
      <w:r w:rsidR="00EE2333">
        <w:t>,</w:t>
      </w:r>
      <w:r w:rsidR="00311241">
        <w:t xml:space="preserve"> or as otherwise permitted by HIPAA. Business Associates, including the System Administration offices that access PHI from System institutions, are directly subject to HIPAA and are subject to investigation, audits and enforcement actions and penalties to the same extent </w:t>
      </w:r>
      <w:r w:rsidR="001C5671">
        <w:t>as Covered Entities</w:t>
      </w:r>
      <w:r w:rsidR="00311241">
        <w:t xml:space="preserve">. </w:t>
      </w:r>
      <w:r w:rsidR="00CD5BC9">
        <w:t xml:space="preserve"> </w:t>
      </w:r>
      <w:r>
        <w:t xml:space="preserve"> </w:t>
      </w:r>
    </w:p>
    <w:p w:rsidR="0058643A" w:rsidRDefault="00852333" w:rsidP="00280FE8">
      <w:r>
        <w:t>In general, PHI</w:t>
      </w:r>
      <w:r w:rsidR="00EE2333">
        <w:t xml:space="preserve"> release</w:t>
      </w:r>
      <w:r w:rsidR="00CD5BC9">
        <w:t xml:space="preserve">d pursuant to </w:t>
      </w:r>
      <w:r>
        <w:t>a</w:t>
      </w:r>
      <w:r w:rsidR="00EE2333">
        <w:t xml:space="preserve"> valid</w:t>
      </w:r>
      <w:r>
        <w:t xml:space="preserve"> </w:t>
      </w:r>
      <w:r w:rsidR="001C5671">
        <w:t>authorization</w:t>
      </w:r>
      <w:r w:rsidR="00CD5BC9">
        <w:t>,</w:t>
      </w:r>
      <w:r w:rsidR="001C5671">
        <w:t xml:space="preserve"> </w:t>
      </w:r>
      <w:r>
        <w:t xml:space="preserve">or </w:t>
      </w:r>
      <w:r w:rsidR="001C5671">
        <w:t>because it has been de-identified</w:t>
      </w:r>
      <w:r w:rsidR="00CD5BC9">
        <w:t>,</w:t>
      </w:r>
      <w:r w:rsidR="001C5671">
        <w:t xml:space="preserve"> </w:t>
      </w:r>
      <w:r>
        <w:t>is no longer subject to HIPAA. However,</w:t>
      </w:r>
      <w:r w:rsidR="00EE2333">
        <w:t xml:space="preserve"> information </w:t>
      </w:r>
      <w:r w:rsidR="00CD5BC9">
        <w:t xml:space="preserve">disclosed or accessed pursuant to </w:t>
      </w:r>
      <w:r w:rsidR="00EE2333">
        <w:t xml:space="preserve">a HIPAA exception or under the terms of certain authorizations </w:t>
      </w:r>
      <w:r>
        <w:t xml:space="preserve">may </w:t>
      </w:r>
      <w:r w:rsidR="00CD5BC9">
        <w:t xml:space="preserve">continue to </w:t>
      </w:r>
      <w:r w:rsidR="00EE2333">
        <w:t>be subject to o</w:t>
      </w:r>
      <w:r>
        <w:t>ther state privacy laws that protect the</w:t>
      </w:r>
      <w:r w:rsidR="00EE2333">
        <w:t xml:space="preserve"> confidentiality of such</w:t>
      </w:r>
      <w:r>
        <w:t xml:space="preserve"> information</w:t>
      </w:r>
      <w:r w:rsidR="00EE2333">
        <w:t>. This means th</w:t>
      </w:r>
      <w:r w:rsidR="001C5671">
        <w:t>a</w:t>
      </w:r>
      <w:r w:rsidR="00EE2333">
        <w:t>t</w:t>
      </w:r>
      <w:r w:rsidR="001C5671">
        <w:t xml:space="preserve"> System Administration office that is </w:t>
      </w:r>
      <w:r w:rsidR="00EE2333">
        <w:t xml:space="preserve">are not part of the </w:t>
      </w:r>
      <w:r w:rsidR="001C5671">
        <w:t>Health Care Component</w:t>
      </w:r>
      <w:r w:rsidR="00EE2333">
        <w:t xml:space="preserve"> at System Administration</w:t>
      </w:r>
      <w:r w:rsidR="001C5671">
        <w:t>,</w:t>
      </w:r>
      <w:r w:rsidR="00EE2333">
        <w:t xml:space="preserve"> such as </w:t>
      </w:r>
      <w:r w:rsidR="001C5671">
        <w:t>the Offices of the Board</w:t>
      </w:r>
      <w:r w:rsidR="00EE2333">
        <w:t>,</w:t>
      </w:r>
      <w:r w:rsidR="001C5671">
        <w:t xml:space="preserve"> the Chancellor</w:t>
      </w:r>
      <w:r w:rsidR="00EE2333">
        <w:t>, Student Affairs or Health Affairs</w:t>
      </w:r>
      <w:r w:rsidR="001C5671">
        <w:t xml:space="preserve"> must </w:t>
      </w:r>
      <w:r>
        <w:t xml:space="preserve">exercise </w:t>
      </w:r>
      <w:r w:rsidR="001C5671">
        <w:t>caution as to</w:t>
      </w:r>
      <w:r>
        <w:t xml:space="preserve"> any documents containing PHI that </w:t>
      </w:r>
      <w:r w:rsidR="001C5671">
        <w:t>it has accessed under an exception</w:t>
      </w:r>
      <w:r w:rsidR="00EE2333">
        <w:t xml:space="preserve"> or pursuant to an authorization</w:t>
      </w:r>
      <w:r w:rsidR="001C5671">
        <w:t xml:space="preserve">. </w:t>
      </w:r>
    </w:p>
    <w:p w:rsidR="00B9124D" w:rsidRPr="00B9124D" w:rsidRDefault="00B9124D" w:rsidP="00B9124D">
      <w:pPr>
        <w:rPr>
          <w:b/>
        </w:rPr>
      </w:pPr>
      <w:r>
        <w:rPr>
          <w:b/>
        </w:rPr>
        <w:t>UT SYSTEM</w:t>
      </w:r>
      <w:r w:rsidRPr="00B9124D">
        <w:rPr>
          <w:b/>
        </w:rPr>
        <w:t xml:space="preserve"> HIPAA Privacy Contacts</w:t>
      </w:r>
    </w:p>
    <w:p w:rsidR="00B9124D" w:rsidRDefault="00B9124D" w:rsidP="00B9124D">
      <w:r>
        <w:t>Each institution that is subject to HIPAA, including UT System Administration</w:t>
      </w:r>
      <w:r w:rsidR="00CD5BC9">
        <w:t xml:space="preserve"> </w:t>
      </w:r>
      <w:r>
        <w:t>has a HIPAA Privacy Officer</w:t>
      </w:r>
      <w:r w:rsidR="00044074">
        <w:t xml:space="preserve"> and its own HIPAA Privacy, Security and Breach Notification policies</w:t>
      </w:r>
      <w:r>
        <w:t xml:space="preserve">.  </w:t>
      </w:r>
      <w:r w:rsidR="00044074">
        <w:t xml:space="preserve">System Administration’s Privacy Policies, which include its Breach Notification Policy can be found </w:t>
      </w:r>
      <w:proofErr w:type="gramStart"/>
      <w:r w:rsidR="00044074">
        <w:t xml:space="preserve">at  </w:t>
      </w:r>
      <w:proofErr w:type="gramEnd"/>
      <w:hyperlink r:id="rId7" w:history="1">
        <w:r w:rsidR="00044074" w:rsidRPr="0061467C">
          <w:rPr>
            <w:rStyle w:val="Hyperlink"/>
          </w:rPr>
          <w:t>http://www.utsystem.edu/benefits/hipaa/</w:t>
        </w:r>
      </w:hyperlink>
      <w:r w:rsidR="00044074">
        <w:t xml:space="preserve"> and through a link on the </w:t>
      </w:r>
      <w:proofErr w:type="spellStart"/>
      <w:r w:rsidR="0094654F">
        <w:t>Systemwide</w:t>
      </w:r>
      <w:proofErr w:type="spellEnd"/>
      <w:r w:rsidR="0094654F">
        <w:t xml:space="preserve"> Policy Libra</w:t>
      </w:r>
      <w:r w:rsidR="00E37697">
        <w:t>r</w:t>
      </w:r>
      <w:r w:rsidR="0094654F">
        <w:t xml:space="preserve">y which is at </w:t>
      </w:r>
      <w:hyperlink r:id="rId8" w:history="1">
        <w:r w:rsidR="0094654F" w:rsidRPr="0061467C">
          <w:rPr>
            <w:rStyle w:val="Hyperlink"/>
          </w:rPr>
          <w:t>http://www.utsystem.edu/bor/procedures/policy/</w:t>
        </w:r>
      </w:hyperlink>
      <w:r w:rsidR="0094654F">
        <w:t xml:space="preserve"> .</w:t>
      </w:r>
      <w:r w:rsidR="00044074">
        <w:t xml:space="preserve"> </w:t>
      </w:r>
      <w:r>
        <w:t xml:space="preserve">Barbara Holthaus, Senior Attorney and Systemwide Privacy Coordinator, Office of General Counsel is the UT System Administration HIPAA Privacy Officer. </w:t>
      </w:r>
      <w:r w:rsidR="00280FE8">
        <w:t xml:space="preserve"> Her direct line is 512 499 4617 and </w:t>
      </w:r>
      <w:r w:rsidR="0094654F">
        <w:t xml:space="preserve">her </w:t>
      </w:r>
      <w:r w:rsidR="00280FE8">
        <w:t xml:space="preserve">email is </w:t>
      </w:r>
      <w:hyperlink r:id="rId9" w:history="1">
        <w:r w:rsidR="00280FE8" w:rsidRPr="000C008F">
          <w:rPr>
            <w:rStyle w:val="Hyperlink"/>
          </w:rPr>
          <w:t>bholthaus@utsystem.edu</w:t>
        </w:r>
      </w:hyperlink>
      <w:r w:rsidR="00280FE8">
        <w:t xml:space="preserve">. </w:t>
      </w:r>
      <w:r w:rsidR="0094654F">
        <w:t xml:space="preserve">A separate email, </w:t>
      </w:r>
      <w:hyperlink r:id="rId10" w:history="1">
        <w:r w:rsidR="0094654F" w:rsidRPr="0061467C">
          <w:rPr>
            <w:rStyle w:val="Hyperlink"/>
          </w:rPr>
          <w:t>Privacyofficer@utsysem.edu</w:t>
        </w:r>
      </w:hyperlink>
      <w:r w:rsidR="0094654F">
        <w:t xml:space="preserve"> is maintained for receiving HIPAA complaints, breach and violation reports. </w:t>
      </w:r>
      <w:r w:rsidR="00280FE8">
        <w:t>Ms. Holthaus or the Systemwide Compliance Office</w:t>
      </w:r>
      <w:r w:rsidR="0094654F">
        <w:t>,</w:t>
      </w:r>
      <w:r w:rsidR="00280FE8">
        <w:t xml:space="preserve"> </w:t>
      </w:r>
      <w:hyperlink r:id="rId11" w:history="1">
        <w:r w:rsidR="0094654F" w:rsidRPr="0061467C">
          <w:rPr>
            <w:rStyle w:val="Hyperlink"/>
          </w:rPr>
          <w:t>https://www.utsystem.edu/compliance/</w:t>
        </w:r>
      </w:hyperlink>
      <w:r w:rsidR="00CD5BC9">
        <w:rPr>
          <w:rStyle w:val="Hyperlink"/>
        </w:rPr>
        <w:t xml:space="preserve"> </w:t>
      </w:r>
      <w:r>
        <w:t>can</w:t>
      </w:r>
      <w:r w:rsidR="00280FE8">
        <w:t xml:space="preserve"> </w:t>
      </w:r>
      <w:r>
        <w:t>provide contact information</w:t>
      </w:r>
      <w:r w:rsidR="00280FE8">
        <w:t xml:space="preserve"> for</w:t>
      </w:r>
      <w:r w:rsidR="001C5671">
        <w:t xml:space="preserve"> the </w:t>
      </w:r>
      <w:r w:rsidR="00280FE8">
        <w:t>HIPAA Privacy Officer</w:t>
      </w:r>
      <w:r w:rsidR="0094654F">
        <w:t>s</w:t>
      </w:r>
      <w:r w:rsidR="001C5671">
        <w:t xml:space="preserve"> at </w:t>
      </w:r>
      <w:r w:rsidR="0094654F">
        <w:t xml:space="preserve">System </w:t>
      </w:r>
      <w:r w:rsidR="001C5671">
        <w:t>institutions that are subject to HIPAA</w:t>
      </w:r>
      <w:r w:rsidR="00280FE8">
        <w:t>.</w:t>
      </w:r>
      <w:r>
        <w:t xml:space="preserve"> </w:t>
      </w:r>
    </w:p>
    <w:p w:rsidR="00B9124D" w:rsidRPr="00B9124D" w:rsidRDefault="00B9124D" w:rsidP="00B9124D">
      <w:pPr>
        <w:rPr>
          <w:b/>
        </w:rPr>
      </w:pPr>
      <w:r w:rsidRPr="00B9124D">
        <w:rPr>
          <w:b/>
        </w:rPr>
        <w:lastRenderedPageBreak/>
        <w:t>UT SYSTEM Security Contacts</w:t>
      </w:r>
    </w:p>
    <w:p w:rsidR="00B9124D" w:rsidRDefault="00B9124D" w:rsidP="00B9124D">
      <w:r>
        <w:t xml:space="preserve">Each institution has a designated Information Security Officer (ISO). </w:t>
      </w:r>
      <w:r w:rsidR="00280FE8">
        <w:t xml:space="preserve"> At institutions that are Covered Entities, the ISO is also the HIPAA Security Officer.  </w:t>
      </w:r>
      <w:r w:rsidR="00E37697">
        <w:t xml:space="preserve">Ed </w:t>
      </w:r>
      <w:proofErr w:type="spellStart"/>
      <w:r w:rsidR="00E37697">
        <w:t>Mattison</w:t>
      </w:r>
      <w:proofErr w:type="spellEnd"/>
      <w:r w:rsidR="00E37697">
        <w:t xml:space="preserve"> </w:t>
      </w:r>
      <w:r w:rsidR="00280FE8">
        <w:t xml:space="preserve">serves as the Systemwide Chief Security Officer. </w:t>
      </w:r>
      <w:r w:rsidR="00E37697">
        <w:t xml:space="preserve"> The Office of </w:t>
      </w:r>
      <w:proofErr w:type="spellStart"/>
      <w:r w:rsidR="00E37697">
        <w:t>Systemwide</w:t>
      </w:r>
      <w:proofErr w:type="spellEnd"/>
      <w:r w:rsidR="00E37697">
        <w:t xml:space="preserve"> Information Security </w:t>
      </w:r>
      <w:r w:rsidR="00280FE8">
        <w:t>can provide contact information for each institution’s Information Security Officer</w:t>
      </w:r>
      <w:r w:rsidR="0094654F">
        <w:t>s</w:t>
      </w:r>
      <w:r w:rsidR="00280FE8">
        <w:t xml:space="preserve">. </w:t>
      </w:r>
      <w:r w:rsidR="00E37697">
        <w:t xml:space="preserve"> That office can be reached at </w:t>
      </w:r>
      <w:r w:rsidR="00280FE8">
        <w:t>512 499-4</w:t>
      </w:r>
      <w:r w:rsidR="00E37697">
        <w:t>389</w:t>
      </w:r>
      <w:r w:rsidR="00280FE8">
        <w:t xml:space="preserve">. </w:t>
      </w:r>
      <w:r w:rsidR="00E37697">
        <w:t xml:space="preserve">Mr. </w:t>
      </w:r>
      <w:proofErr w:type="spellStart"/>
      <w:r w:rsidR="00E37697">
        <w:t>Mattison’s</w:t>
      </w:r>
      <w:proofErr w:type="spellEnd"/>
      <w:r w:rsidR="00E37697">
        <w:t xml:space="preserve"> </w:t>
      </w:r>
      <w:r w:rsidR="00280FE8">
        <w:t>email is</w:t>
      </w:r>
      <w:r w:rsidR="00E37697">
        <w:t xml:space="preserve"> mmattison@utsystem.edu.</w:t>
      </w:r>
    </w:p>
    <w:p w:rsidR="00B9124D" w:rsidRPr="00852333" w:rsidRDefault="00852333" w:rsidP="00B9124D">
      <w:pPr>
        <w:rPr>
          <w:b/>
        </w:rPr>
      </w:pPr>
      <w:r w:rsidRPr="00852333">
        <w:rPr>
          <w:b/>
        </w:rPr>
        <w:t>ADDITIONAL RESOURCES</w:t>
      </w:r>
    </w:p>
    <w:p w:rsidR="001C5671" w:rsidRDefault="001C5671" w:rsidP="00B9124D">
      <w:r>
        <w:t>An excellent source of information on all things HIPAA as well as links to the HIPAA and HITECH Acts and Regulations can be found at:</w:t>
      </w:r>
    </w:p>
    <w:p w:rsidR="00852333" w:rsidRDefault="001C5671" w:rsidP="00B9124D">
      <w:r>
        <w:t xml:space="preserve"> </w:t>
      </w:r>
      <w:hyperlink r:id="rId12" w:history="1">
        <w:r w:rsidR="00E37697" w:rsidRPr="00DC7B2C">
          <w:rPr>
            <w:rStyle w:val="Hyperlink"/>
          </w:rPr>
          <w:t>http://www.bricker.com/services/resource-details.aspx?resourceid=217</w:t>
        </w:r>
      </w:hyperlink>
    </w:p>
    <w:p w:rsidR="001C5671" w:rsidRDefault="001C5671" w:rsidP="00B9124D">
      <w:r>
        <w:t>Information from the Department of Human Services on HIPAA can be found at:</w:t>
      </w:r>
    </w:p>
    <w:p w:rsidR="001C5671" w:rsidRDefault="00B25EC4" w:rsidP="001C5671">
      <w:hyperlink r:id="rId13" w:history="1">
        <w:r w:rsidR="001C5671" w:rsidRPr="0061467C">
          <w:rPr>
            <w:rStyle w:val="Hyperlink"/>
          </w:rPr>
          <w:t>http://www.hhs.gov/ocr/privacy/index.html</w:t>
        </w:r>
      </w:hyperlink>
      <w:r w:rsidR="001C5671">
        <w:t xml:space="preserve"> </w:t>
      </w:r>
    </w:p>
    <w:sectPr w:rsidR="001C567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8C8" w:rsidRDefault="001478C8" w:rsidP="003C2ADD">
      <w:pPr>
        <w:spacing w:after="0" w:line="240" w:lineRule="auto"/>
      </w:pPr>
      <w:r>
        <w:separator/>
      </w:r>
    </w:p>
  </w:endnote>
  <w:endnote w:type="continuationSeparator" w:id="0">
    <w:p w:rsidR="001478C8" w:rsidRDefault="001478C8" w:rsidP="003C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200776"/>
      <w:docPartObj>
        <w:docPartGallery w:val="Page Numbers (Bottom of Page)"/>
        <w:docPartUnique/>
      </w:docPartObj>
    </w:sdtPr>
    <w:sdtEndPr>
      <w:rPr>
        <w:noProof/>
      </w:rPr>
    </w:sdtEndPr>
    <w:sdtContent>
      <w:p w:rsidR="00CD5BC9" w:rsidRDefault="00CD5BC9">
        <w:pPr>
          <w:pStyle w:val="Footer"/>
          <w:jc w:val="center"/>
        </w:pPr>
        <w:r>
          <w:fldChar w:fldCharType="begin"/>
        </w:r>
        <w:r>
          <w:instrText xml:space="preserve"> PAGE   \* MERGEFORMAT </w:instrText>
        </w:r>
        <w:r>
          <w:fldChar w:fldCharType="separate"/>
        </w:r>
        <w:r w:rsidR="00B25EC4">
          <w:rPr>
            <w:noProof/>
          </w:rPr>
          <w:t>1</w:t>
        </w:r>
        <w:r>
          <w:rPr>
            <w:noProof/>
          </w:rPr>
          <w:fldChar w:fldCharType="end"/>
        </w:r>
      </w:p>
    </w:sdtContent>
  </w:sdt>
  <w:p w:rsidR="008B3FD3" w:rsidRDefault="008B3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8C8" w:rsidRDefault="001478C8" w:rsidP="003C2ADD">
      <w:pPr>
        <w:spacing w:after="0" w:line="240" w:lineRule="auto"/>
      </w:pPr>
      <w:r>
        <w:separator/>
      </w:r>
    </w:p>
  </w:footnote>
  <w:footnote w:type="continuationSeparator" w:id="0">
    <w:p w:rsidR="001478C8" w:rsidRDefault="001478C8" w:rsidP="003C2ADD">
      <w:pPr>
        <w:spacing w:after="0" w:line="240" w:lineRule="auto"/>
      </w:pPr>
      <w:r>
        <w:continuationSeparator/>
      </w:r>
    </w:p>
  </w:footnote>
  <w:footnote w:id="1">
    <w:p w:rsidR="00044074" w:rsidRDefault="00044074">
      <w:pPr>
        <w:pStyle w:val="FootnoteText"/>
      </w:pPr>
      <w:r>
        <w:rPr>
          <w:rStyle w:val="FootnoteReference"/>
        </w:rPr>
        <w:footnoteRef/>
      </w:r>
      <w:r>
        <w:t xml:space="preserve"> HIPAA defines PHI </w:t>
      </w:r>
      <w:r w:rsidRPr="00044074">
        <w:t xml:space="preserve">as any health information that is created, received, or maintained by a </w:t>
      </w:r>
      <w:r>
        <w:t xml:space="preserve">HIPAA </w:t>
      </w:r>
      <w:r w:rsidRPr="00044074">
        <w:t>covered entity whether in print, orally or electronically, that: 1) includes “individual identifiers” that clearly identify an individual (or has components that could be used to identify the individual); and 2) is related to a past, present, or future physical or mental health condition, or the provision of, or payment for health care or genetic information.</w:t>
      </w:r>
    </w:p>
  </w:footnote>
  <w:footnote w:id="2">
    <w:p w:rsidR="0058643A" w:rsidRDefault="0058643A">
      <w:pPr>
        <w:pStyle w:val="FootnoteText"/>
      </w:pPr>
      <w:r>
        <w:rPr>
          <w:rStyle w:val="FootnoteReference"/>
        </w:rPr>
        <w:footnoteRef/>
      </w:r>
      <w:r>
        <w:t xml:space="preserve"> </w:t>
      </w:r>
      <w:r w:rsidRPr="0058643A">
        <w:t>The offices within the System Administration’s HIPAA Health Care Component are the Office of Employee Benefits</w:t>
      </w:r>
      <w:r w:rsidR="00C94075">
        <w:t xml:space="preserve"> (OEB)</w:t>
      </w:r>
      <w:r w:rsidRPr="0058643A">
        <w:t>, which houses the UT System’s group employee self-funded medical health plan (UT SELECT), dental plan (UT DENTAL SELECT) and flexible medical savings plan (UT FLEX)</w:t>
      </w:r>
      <w:r w:rsidR="00CD5BC9">
        <w:t xml:space="preserve"> which constitute a HIPAA Covered Entity</w:t>
      </w:r>
      <w:r w:rsidRPr="0058643A">
        <w:t>;</w:t>
      </w:r>
      <w:r w:rsidR="00CD5BC9">
        <w:t xml:space="preserve"> plus,</w:t>
      </w:r>
      <w:r w:rsidRPr="0058643A">
        <w:t xml:space="preserve"> the Office of General Counsel, which provides health care operations in the form of legal services to the UT System health plans as well as services as the Business Associate of the UT System institutions that are subject to HIPAA; Systemwide Compliance; the Audit Office</w:t>
      </w:r>
      <w:r w:rsidR="00CD5BC9">
        <w:t>;</w:t>
      </w:r>
      <w:r w:rsidRPr="0058643A">
        <w:t xml:space="preserve"> the Office of Employee Services</w:t>
      </w:r>
      <w:r w:rsidR="00CD5BC9">
        <w:t xml:space="preserve">; </w:t>
      </w:r>
      <w:r w:rsidRPr="0058643A">
        <w:t>the Office of Technology Services.</w:t>
      </w:r>
    </w:p>
  </w:footnote>
  <w:footnote w:id="3">
    <w:p w:rsidR="003C2ADD" w:rsidRDefault="003C2ADD">
      <w:pPr>
        <w:pStyle w:val="FootnoteText"/>
      </w:pPr>
      <w:r>
        <w:rPr>
          <w:rStyle w:val="FootnoteReference"/>
        </w:rPr>
        <w:footnoteRef/>
      </w:r>
      <w:r>
        <w:t xml:space="preserve"> UT Austin has a health center that provides some services to non-students and a Pharmacy School as well as a few other offices that engage in services that are subject to HIPAA.  When the new medical school opens, that too will be subject to HIPA</w:t>
      </w:r>
      <w:r w:rsidR="0058643A">
        <w:t>A.</w:t>
      </w:r>
    </w:p>
  </w:footnote>
  <w:footnote w:id="4">
    <w:p w:rsidR="0058643A" w:rsidRDefault="0058643A">
      <w:pPr>
        <w:pStyle w:val="FootnoteText"/>
      </w:pPr>
      <w:r>
        <w:rPr>
          <w:rStyle w:val="FootnoteReference"/>
        </w:rPr>
        <w:footnoteRef/>
      </w:r>
      <w:r>
        <w:t xml:space="preserve"> UT Dallas houses the </w:t>
      </w:r>
      <w:proofErr w:type="spellStart"/>
      <w:r>
        <w:t>Callier</w:t>
      </w:r>
      <w:proofErr w:type="spellEnd"/>
      <w:r>
        <w:t xml:space="preserve"> </w:t>
      </w:r>
      <w:r w:rsidR="00C94075">
        <w:t xml:space="preserve">Communication </w:t>
      </w:r>
      <w:r>
        <w:t xml:space="preserve">Center for Speech Communication and Hearing Disorders which is subject to HIPAA.  Some of its administrative offices provide Business Associate </w:t>
      </w:r>
      <w:r w:rsidR="00852333">
        <w:t>s</w:t>
      </w:r>
      <w:r>
        <w:t xml:space="preserve">ervices to the Center </w:t>
      </w:r>
      <w:r w:rsidR="00852333">
        <w:t xml:space="preserve">which </w:t>
      </w:r>
      <w:proofErr w:type="gramStart"/>
      <w:r>
        <w:t>require</w:t>
      </w:r>
      <w:proofErr w:type="gramEnd"/>
      <w:r>
        <w:t xml:space="preserve"> access to the Center’s PHI. </w:t>
      </w:r>
    </w:p>
  </w:footnote>
  <w:footnote w:id="5">
    <w:p w:rsidR="001317B2" w:rsidRDefault="001317B2">
      <w:pPr>
        <w:pStyle w:val="FootnoteText"/>
      </w:pPr>
      <w:r>
        <w:rPr>
          <w:rStyle w:val="FootnoteReference"/>
        </w:rPr>
        <w:footnoteRef/>
      </w:r>
      <w:r>
        <w:t xml:space="preserve"> T</w:t>
      </w:r>
      <w:r w:rsidRPr="001317B2">
        <w:t>here are also state medical and mental health privacy laws that would prevent a hospital or health care provider from sharing identifiable patients records without consent absent the existence of an applicable exception.</w:t>
      </w:r>
    </w:p>
  </w:footnote>
  <w:footnote w:id="6">
    <w:p w:rsidR="00044074" w:rsidRDefault="00044074">
      <w:pPr>
        <w:pStyle w:val="FootnoteText"/>
      </w:pPr>
      <w:r>
        <w:rPr>
          <w:rStyle w:val="FootnoteReference"/>
        </w:rPr>
        <w:footnoteRef/>
      </w:r>
      <w:r>
        <w:t xml:space="preserve"> See footnote 3 for a full list.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4D"/>
    <w:rsid w:val="0003047C"/>
    <w:rsid w:val="00044074"/>
    <w:rsid w:val="000E5612"/>
    <w:rsid w:val="001317B2"/>
    <w:rsid w:val="001478C8"/>
    <w:rsid w:val="001C5671"/>
    <w:rsid w:val="00280FE8"/>
    <w:rsid w:val="002D2425"/>
    <w:rsid w:val="00311241"/>
    <w:rsid w:val="003C2ADD"/>
    <w:rsid w:val="00425C9D"/>
    <w:rsid w:val="0049568F"/>
    <w:rsid w:val="0058643A"/>
    <w:rsid w:val="00747270"/>
    <w:rsid w:val="00852333"/>
    <w:rsid w:val="008B3FD3"/>
    <w:rsid w:val="008D01FE"/>
    <w:rsid w:val="0094654F"/>
    <w:rsid w:val="00B25EC4"/>
    <w:rsid w:val="00B9124D"/>
    <w:rsid w:val="00C6273C"/>
    <w:rsid w:val="00C94075"/>
    <w:rsid w:val="00CA51A6"/>
    <w:rsid w:val="00CC61CB"/>
    <w:rsid w:val="00CD5BC9"/>
    <w:rsid w:val="00D67560"/>
    <w:rsid w:val="00E37697"/>
    <w:rsid w:val="00E57DCB"/>
    <w:rsid w:val="00EE2333"/>
    <w:rsid w:val="00EF4E7F"/>
    <w:rsid w:val="00F6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FE8"/>
    <w:rPr>
      <w:color w:val="0000FF" w:themeColor="hyperlink"/>
      <w:u w:val="single"/>
    </w:rPr>
  </w:style>
  <w:style w:type="paragraph" w:styleId="NoSpacing">
    <w:name w:val="No Spacing"/>
    <w:uiPriority w:val="1"/>
    <w:qFormat/>
    <w:rsid w:val="00280FE8"/>
    <w:pPr>
      <w:spacing w:after="0" w:line="240" w:lineRule="auto"/>
    </w:pPr>
  </w:style>
  <w:style w:type="paragraph" w:styleId="FootnoteText">
    <w:name w:val="footnote text"/>
    <w:basedOn w:val="Normal"/>
    <w:link w:val="FootnoteTextChar"/>
    <w:uiPriority w:val="99"/>
    <w:semiHidden/>
    <w:unhideWhenUsed/>
    <w:rsid w:val="003C2A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2ADD"/>
    <w:rPr>
      <w:sz w:val="20"/>
      <w:szCs w:val="20"/>
    </w:rPr>
  </w:style>
  <w:style w:type="character" w:styleId="FootnoteReference">
    <w:name w:val="footnote reference"/>
    <w:basedOn w:val="DefaultParagraphFont"/>
    <w:uiPriority w:val="99"/>
    <w:semiHidden/>
    <w:unhideWhenUsed/>
    <w:rsid w:val="003C2ADD"/>
    <w:rPr>
      <w:vertAlign w:val="superscript"/>
    </w:rPr>
  </w:style>
  <w:style w:type="paragraph" w:styleId="Header">
    <w:name w:val="header"/>
    <w:basedOn w:val="Normal"/>
    <w:link w:val="HeaderChar"/>
    <w:uiPriority w:val="99"/>
    <w:unhideWhenUsed/>
    <w:rsid w:val="008B3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FD3"/>
  </w:style>
  <w:style w:type="paragraph" w:styleId="Footer">
    <w:name w:val="footer"/>
    <w:basedOn w:val="Normal"/>
    <w:link w:val="FooterChar"/>
    <w:uiPriority w:val="99"/>
    <w:unhideWhenUsed/>
    <w:rsid w:val="008B3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FD3"/>
  </w:style>
  <w:style w:type="paragraph" w:styleId="BalloonText">
    <w:name w:val="Balloon Text"/>
    <w:basedOn w:val="Normal"/>
    <w:link w:val="BalloonTextChar"/>
    <w:uiPriority w:val="99"/>
    <w:semiHidden/>
    <w:unhideWhenUsed/>
    <w:rsid w:val="00030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FE8"/>
    <w:rPr>
      <w:color w:val="0000FF" w:themeColor="hyperlink"/>
      <w:u w:val="single"/>
    </w:rPr>
  </w:style>
  <w:style w:type="paragraph" w:styleId="NoSpacing">
    <w:name w:val="No Spacing"/>
    <w:uiPriority w:val="1"/>
    <w:qFormat/>
    <w:rsid w:val="00280FE8"/>
    <w:pPr>
      <w:spacing w:after="0" w:line="240" w:lineRule="auto"/>
    </w:pPr>
  </w:style>
  <w:style w:type="paragraph" w:styleId="FootnoteText">
    <w:name w:val="footnote text"/>
    <w:basedOn w:val="Normal"/>
    <w:link w:val="FootnoteTextChar"/>
    <w:uiPriority w:val="99"/>
    <w:semiHidden/>
    <w:unhideWhenUsed/>
    <w:rsid w:val="003C2A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2ADD"/>
    <w:rPr>
      <w:sz w:val="20"/>
      <w:szCs w:val="20"/>
    </w:rPr>
  </w:style>
  <w:style w:type="character" w:styleId="FootnoteReference">
    <w:name w:val="footnote reference"/>
    <w:basedOn w:val="DefaultParagraphFont"/>
    <w:uiPriority w:val="99"/>
    <w:semiHidden/>
    <w:unhideWhenUsed/>
    <w:rsid w:val="003C2ADD"/>
    <w:rPr>
      <w:vertAlign w:val="superscript"/>
    </w:rPr>
  </w:style>
  <w:style w:type="paragraph" w:styleId="Header">
    <w:name w:val="header"/>
    <w:basedOn w:val="Normal"/>
    <w:link w:val="HeaderChar"/>
    <w:uiPriority w:val="99"/>
    <w:unhideWhenUsed/>
    <w:rsid w:val="008B3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FD3"/>
  </w:style>
  <w:style w:type="paragraph" w:styleId="Footer">
    <w:name w:val="footer"/>
    <w:basedOn w:val="Normal"/>
    <w:link w:val="FooterChar"/>
    <w:uiPriority w:val="99"/>
    <w:unhideWhenUsed/>
    <w:rsid w:val="008B3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FD3"/>
  </w:style>
  <w:style w:type="paragraph" w:styleId="BalloonText">
    <w:name w:val="Balloon Text"/>
    <w:basedOn w:val="Normal"/>
    <w:link w:val="BalloonTextChar"/>
    <w:uiPriority w:val="99"/>
    <w:semiHidden/>
    <w:unhideWhenUsed/>
    <w:rsid w:val="00030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4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9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system.edu/bor/procedures/policy/" TargetMode="External"/><Relationship Id="rId13" Type="http://schemas.openxmlformats.org/officeDocument/2006/relationships/hyperlink" Target="http://www.hhs.gov/ocr/privacy/index.html" TargetMode="External"/><Relationship Id="rId3" Type="http://schemas.openxmlformats.org/officeDocument/2006/relationships/settings" Target="settings.xml"/><Relationship Id="rId7" Type="http://schemas.openxmlformats.org/officeDocument/2006/relationships/hyperlink" Target="http://www.utsystem.edu/benefits/hipaa/" TargetMode="External"/><Relationship Id="rId12" Type="http://schemas.openxmlformats.org/officeDocument/2006/relationships/hyperlink" Target="http://www.bricker.com/services/resource-details.aspx?resourceid=217"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utsystem.edu/complian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officer@utsysem.edu" TargetMode="External"/><Relationship Id="rId4" Type="http://schemas.openxmlformats.org/officeDocument/2006/relationships/webSettings" Target="webSettings.xml"/><Relationship Id="rId9" Type="http://schemas.openxmlformats.org/officeDocument/2006/relationships/hyperlink" Target="mailto:bholthaus@utsystem.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1920</Words>
  <Characters>10945</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bholthaus</dc:creator>
  <cp:lastModifiedBy>Carson, Cyanna</cp:lastModifiedBy>
  <cp:revision>2</cp:revision>
  <cp:lastPrinted>2014-06-04T22:22:00Z</cp:lastPrinted>
  <dcterms:created xsi:type="dcterms:W3CDTF">2015-09-08T18:01:00Z</dcterms:created>
  <dcterms:modified xsi:type="dcterms:W3CDTF">2015-09-08T18:01:00Z</dcterms:modified>
</cp:coreProperties>
</file>