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CE4" w:rsidRPr="00D8307F" w:rsidRDefault="00365CE4" w:rsidP="00365CE4">
      <w:pPr>
        <w:pStyle w:val="CM69"/>
        <w:pageBreakBefore/>
        <w:spacing w:line="368" w:lineRule="atLeast"/>
        <w:rPr>
          <w:rFonts w:ascii="Calibri" w:hAnsi="Calibri"/>
          <w:sz w:val="26"/>
          <w:szCs w:val="26"/>
        </w:rPr>
      </w:pPr>
      <w:r w:rsidRPr="00D8307F">
        <w:rPr>
          <w:rFonts w:ascii="Calibri" w:hAnsi="Calibri"/>
          <w:b/>
          <w:bCs/>
          <w:sz w:val="32"/>
          <w:szCs w:val="32"/>
        </w:rPr>
        <w:t>EXHIBIT 1: E</w:t>
      </w:r>
      <w:r w:rsidRPr="00D8307F">
        <w:rPr>
          <w:rFonts w:ascii="Calibri" w:hAnsi="Calibri"/>
          <w:b/>
          <w:bCs/>
          <w:sz w:val="26"/>
          <w:szCs w:val="26"/>
        </w:rPr>
        <w:t xml:space="preserve">VALUATION </w:t>
      </w:r>
      <w:r w:rsidRPr="00D8307F">
        <w:rPr>
          <w:rFonts w:ascii="Calibri" w:hAnsi="Calibri"/>
          <w:b/>
          <w:bCs/>
          <w:sz w:val="32"/>
          <w:szCs w:val="32"/>
        </w:rPr>
        <w:t>Q</w:t>
      </w:r>
      <w:r w:rsidRPr="00D8307F">
        <w:rPr>
          <w:rFonts w:ascii="Calibri" w:hAnsi="Calibri"/>
          <w:b/>
          <w:bCs/>
          <w:sz w:val="26"/>
          <w:szCs w:val="26"/>
        </w:rPr>
        <w:t xml:space="preserve">UESTIONNAIRE FOR </w:t>
      </w:r>
      <w:r w:rsidRPr="00D8307F">
        <w:rPr>
          <w:rFonts w:ascii="Calibri" w:hAnsi="Calibri"/>
          <w:b/>
          <w:bCs/>
          <w:sz w:val="32"/>
          <w:szCs w:val="32"/>
        </w:rPr>
        <w:t>A</w:t>
      </w:r>
      <w:r w:rsidRPr="00D8307F">
        <w:rPr>
          <w:rFonts w:ascii="Calibri" w:hAnsi="Calibri"/>
          <w:b/>
          <w:bCs/>
          <w:sz w:val="26"/>
          <w:szCs w:val="26"/>
        </w:rPr>
        <w:t xml:space="preserve">SSESSING THE </w:t>
      </w:r>
      <w:r w:rsidRPr="00D8307F">
        <w:rPr>
          <w:rFonts w:ascii="Calibri" w:hAnsi="Calibri"/>
          <w:b/>
          <w:bCs/>
          <w:sz w:val="32"/>
          <w:szCs w:val="32"/>
        </w:rPr>
        <w:t>U</w:t>
      </w:r>
      <w:r w:rsidRPr="00D8307F">
        <w:rPr>
          <w:rFonts w:ascii="Calibri" w:hAnsi="Calibri"/>
          <w:b/>
          <w:bCs/>
          <w:sz w:val="26"/>
          <w:szCs w:val="26"/>
        </w:rPr>
        <w:t>NIVERSITY</w:t>
      </w:r>
      <w:r w:rsidRPr="00D8307F">
        <w:rPr>
          <w:rFonts w:ascii="Calibri" w:hAnsi="Calibri"/>
          <w:b/>
          <w:bCs/>
          <w:sz w:val="32"/>
          <w:szCs w:val="32"/>
        </w:rPr>
        <w:t>’</w:t>
      </w:r>
      <w:r w:rsidRPr="00D8307F">
        <w:rPr>
          <w:rFonts w:ascii="Calibri" w:hAnsi="Calibri"/>
          <w:b/>
          <w:bCs/>
          <w:sz w:val="26"/>
          <w:szCs w:val="26"/>
        </w:rPr>
        <w:t xml:space="preserve">S </w:t>
      </w:r>
      <w:r w:rsidRPr="00D8307F">
        <w:rPr>
          <w:rFonts w:ascii="Calibri" w:hAnsi="Calibri"/>
          <w:b/>
          <w:bCs/>
          <w:sz w:val="32"/>
          <w:szCs w:val="32"/>
        </w:rPr>
        <w:t>C</w:t>
      </w:r>
      <w:r w:rsidRPr="00D8307F">
        <w:rPr>
          <w:rFonts w:ascii="Calibri" w:hAnsi="Calibri"/>
          <w:b/>
          <w:bCs/>
          <w:sz w:val="26"/>
          <w:szCs w:val="26"/>
        </w:rPr>
        <w:t xml:space="preserve">ONTINUING </w:t>
      </w:r>
      <w:r w:rsidRPr="00D8307F">
        <w:rPr>
          <w:rFonts w:ascii="Calibri" w:hAnsi="Calibri"/>
          <w:b/>
          <w:bCs/>
          <w:sz w:val="32"/>
          <w:szCs w:val="32"/>
        </w:rPr>
        <w:t>I</w:t>
      </w:r>
      <w:r w:rsidRPr="00D8307F">
        <w:rPr>
          <w:rFonts w:ascii="Calibri" w:hAnsi="Calibri"/>
          <w:b/>
          <w:bCs/>
          <w:sz w:val="26"/>
          <w:szCs w:val="26"/>
        </w:rPr>
        <w:t xml:space="preserve">NVOLVEMENT IN THE </w:t>
      </w:r>
      <w:r w:rsidRPr="00D8307F">
        <w:rPr>
          <w:rFonts w:ascii="Calibri" w:hAnsi="Calibri"/>
          <w:b/>
          <w:bCs/>
          <w:sz w:val="32"/>
          <w:szCs w:val="32"/>
        </w:rPr>
        <w:t>S</w:t>
      </w:r>
      <w:r w:rsidRPr="00D8307F">
        <w:rPr>
          <w:rFonts w:ascii="Calibri" w:hAnsi="Calibri"/>
          <w:b/>
          <w:bCs/>
          <w:sz w:val="26"/>
          <w:szCs w:val="26"/>
        </w:rPr>
        <w:t xml:space="preserve">ALE OF </w:t>
      </w:r>
      <w:r w:rsidRPr="00D8307F">
        <w:rPr>
          <w:rFonts w:ascii="Calibri" w:hAnsi="Calibri"/>
          <w:b/>
          <w:bCs/>
          <w:sz w:val="32"/>
          <w:szCs w:val="32"/>
        </w:rPr>
        <w:t>E</w:t>
      </w:r>
      <w:r w:rsidRPr="00D8307F">
        <w:rPr>
          <w:rFonts w:ascii="Calibri" w:hAnsi="Calibri"/>
          <w:b/>
          <w:bCs/>
          <w:sz w:val="26"/>
          <w:szCs w:val="26"/>
        </w:rPr>
        <w:t xml:space="preserve">XISTING </w:t>
      </w:r>
      <w:r w:rsidRPr="00D8307F">
        <w:rPr>
          <w:rFonts w:ascii="Calibri" w:hAnsi="Calibri"/>
          <w:b/>
          <w:bCs/>
          <w:sz w:val="32"/>
          <w:szCs w:val="32"/>
        </w:rPr>
        <w:t>R</w:t>
      </w:r>
      <w:r w:rsidRPr="00D8307F">
        <w:rPr>
          <w:rFonts w:ascii="Calibri" w:hAnsi="Calibri"/>
          <w:b/>
          <w:bCs/>
          <w:sz w:val="26"/>
          <w:szCs w:val="26"/>
        </w:rPr>
        <w:t xml:space="preserve">ECEIVABLES </w:t>
      </w:r>
    </w:p>
    <w:p w:rsidR="00365CE4" w:rsidRPr="00D8307F" w:rsidRDefault="00365CE4" w:rsidP="00365CE4">
      <w:pPr>
        <w:pStyle w:val="CM69"/>
        <w:spacing w:line="268" w:lineRule="atLeast"/>
        <w:rPr>
          <w:rFonts w:ascii="Calibri" w:hAnsi="Calibri"/>
          <w:sz w:val="22"/>
          <w:szCs w:val="22"/>
        </w:rPr>
      </w:pPr>
    </w:p>
    <w:p w:rsidR="00365CE4" w:rsidRPr="00D8307F" w:rsidRDefault="00365CE4" w:rsidP="00365CE4">
      <w:pPr>
        <w:pStyle w:val="CM69"/>
        <w:spacing w:line="268" w:lineRule="atLeast"/>
        <w:jc w:val="both"/>
        <w:rPr>
          <w:rFonts w:ascii="Calibri" w:hAnsi="Calibri"/>
          <w:sz w:val="20"/>
          <w:szCs w:val="20"/>
        </w:rPr>
      </w:pPr>
      <w:r w:rsidRPr="00D8307F">
        <w:rPr>
          <w:rFonts w:ascii="Calibri" w:hAnsi="Calibri"/>
          <w:sz w:val="22"/>
          <w:szCs w:val="22"/>
        </w:rPr>
        <w:t>A significant aspect of the assessment is the degree to which the University retains or relinquishes to the transferee control over the existing receivables</w:t>
      </w:r>
      <w:proofErr w:type="gramStart"/>
      <w:r w:rsidRPr="00D8307F">
        <w:rPr>
          <w:rFonts w:ascii="Calibri" w:hAnsi="Calibri"/>
          <w:sz w:val="22"/>
          <w:szCs w:val="22"/>
        </w:rPr>
        <w:t xml:space="preserve">. </w:t>
      </w:r>
      <w:proofErr w:type="gramEnd"/>
      <w:r w:rsidRPr="00D8307F">
        <w:rPr>
          <w:rFonts w:ascii="Calibri" w:hAnsi="Calibri"/>
          <w:sz w:val="22"/>
          <w:szCs w:val="22"/>
        </w:rPr>
        <w:t xml:space="preserve">A transaction in which the University receives or is entitled to proceeds in exchange for the future cash flows from existing receivables should be reported as a sale if the </w:t>
      </w:r>
      <w:proofErr w:type="gramStart"/>
      <w:r w:rsidRPr="00D8307F">
        <w:rPr>
          <w:rFonts w:ascii="Calibri" w:hAnsi="Calibri"/>
          <w:sz w:val="22"/>
          <w:szCs w:val="22"/>
        </w:rPr>
        <w:t>University’s</w:t>
      </w:r>
      <w:proofErr w:type="gramEnd"/>
      <w:r w:rsidRPr="00D8307F">
        <w:rPr>
          <w:rFonts w:ascii="Calibri" w:hAnsi="Calibri"/>
          <w:sz w:val="22"/>
          <w:szCs w:val="22"/>
        </w:rPr>
        <w:t xml:space="preserve"> continuing involvement with these receivables is effectively terminated </w:t>
      </w:r>
      <w:r w:rsidRPr="00D8307F">
        <w:rPr>
          <w:rFonts w:ascii="Calibri" w:hAnsi="Calibri"/>
          <w:sz w:val="20"/>
          <w:szCs w:val="20"/>
        </w:rPr>
        <w:t xml:space="preserve">(¶6). </w:t>
      </w:r>
    </w:p>
    <w:p w:rsidR="00365CE4" w:rsidRPr="00D8307F" w:rsidRDefault="00365CE4" w:rsidP="00365CE4">
      <w:pPr>
        <w:pStyle w:val="CM70"/>
        <w:spacing w:line="253" w:lineRule="atLeast"/>
        <w:jc w:val="both"/>
        <w:rPr>
          <w:rFonts w:ascii="Calibri" w:hAnsi="Calibri"/>
          <w:sz w:val="22"/>
          <w:szCs w:val="22"/>
        </w:rPr>
      </w:pPr>
    </w:p>
    <w:p w:rsidR="00365CE4" w:rsidRPr="00D8307F" w:rsidRDefault="00365CE4" w:rsidP="00365CE4">
      <w:pPr>
        <w:pStyle w:val="CM70"/>
        <w:spacing w:line="253" w:lineRule="atLeast"/>
        <w:jc w:val="both"/>
        <w:rPr>
          <w:rFonts w:ascii="Calibri" w:hAnsi="Calibri"/>
          <w:sz w:val="22"/>
          <w:szCs w:val="22"/>
        </w:rPr>
      </w:pPr>
      <w:r w:rsidRPr="00D8307F">
        <w:rPr>
          <w:rFonts w:ascii="Calibri" w:hAnsi="Calibri"/>
          <w:sz w:val="22"/>
          <w:szCs w:val="22"/>
        </w:rPr>
        <w:t xml:space="preserve">The determination of whether the University’s continuing involvement is effectively terminated is dependent upon an evaluation of the following criteria. </w:t>
      </w:r>
      <w:r>
        <w:rPr>
          <w:rFonts w:ascii="Calibri" w:hAnsi="Calibri"/>
          <w:sz w:val="22"/>
          <w:szCs w:val="22"/>
        </w:rPr>
        <w:t xml:space="preserve"> </w:t>
      </w:r>
      <w:r w:rsidRPr="00D8307F">
        <w:rPr>
          <w:rFonts w:ascii="Calibri" w:hAnsi="Calibri"/>
          <w:sz w:val="22"/>
          <w:szCs w:val="22"/>
        </w:rPr>
        <w:t xml:space="preserve">A “yes” answer to any one of the questions indicates the University’s continuing involvement is </w:t>
      </w:r>
      <w:r w:rsidRPr="00D8307F">
        <w:rPr>
          <w:rFonts w:ascii="Calibri" w:hAnsi="Calibri"/>
          <w:sz w:val="22"/>
          <w:szCs w:val="22"/>
          <w:u w:val="single"/>
        </w:rPr>
        <w:t>not</w:t>
      </w:r>
      <w:r w:rsidRPr="00D8307F">
        <w:rPr>
          <w:rFonts w:ascii="Calibri" w:hAnsi="Calibri"/>
          <w:sz w:val="22"/>
          <w:szCs w:val="22"/>
        </w:rPr>
        <w:t xml:space="preserve"> effectively terminated and, therefore, the transaction should </w:t>
      </w:r>
      <w:r w:rsidRPr="00D8307F">
        <w:rPr>
          <w:rFonts w:ascii="Calibri" w:hAnsi="Calibri"/>
          <w:sz w:val="22"/>
          <w:szCs w:val="22"/>
          <w:u w:val="single"/>
        </w:rPr>
        <w:t>not</w:t>
      </w:r>
      <w:r w:rsidRPr="00D8307F">
        <w:rPr>
          <w:rFonts w:ascii="Calibri" w:hAnsi="Calibri"/>
          <w:sz w:val="22"/>
          <w:szCs w:val="22"/>
        </w:rPr>
        <w:t xml:space="preserve"> be reported as a sale. </w:t>
      </w:r>
    </w:p>
    <w:p w:rsidR="00365CE4" w:rsidRPr="00D8307F" w:rsidRDefault="00365CE4" w:rsidP="00365CE4">
      <w:pPr>
        <w:pStyle w:val="CM73"/>
        <w:spacing w:line="268" w:lineRule="atLeast"/>
        <w:rPr>
          <w:rFonts w:ascii="Calibri" w:hAnsi="Calibri"/>
          <w:b/>
          <w:bCs/>
          <w:sz w:val="22"/>
          <w:szCs w:val="22"/>
        </w:rPr>
      </w:pPr>
    </w:p>
    <w:p w:rsidR="00365CE4" w:rsidRPr="00D8307F" w:rsidRDefault="00365CE4" w:rsidP="00365CE4">
      <w:pPr>
        <w:pStyle w:val="CM73"/>
        <w:spacing w:line="268" w:lineRule="atLeast"/>
        <w:rPr>
          <w:rFonts w:ascii="Calibri" w:hAnsi="Calibri"/>
          <w:sz w:val="22"/>
          <w:szCs w:val="22"/>
          <w:u w:val="single"/>
        </w:rPr>
      </w:pPr>
      <w:r w:rsidRPr="00D8307F">
        <w:rPr>
          <w:rFonts w:ascii="Calibri" w:hAnsi="Calibri"/>
          <w:b/>
          <w:bCs/>
          <w:sz w:val="22"/>
          <w:szCs w:val="22"/>
        </w:rPr>
        <w:t xml:space="preserve">Transaction Assessed: </w:t>
      </w:r>
      <w:r>
        <w:rPr>
          <w:rFonts w:ascii="Calibri" w:hAnsi="Calibri"/>
          <w:b/>
          <w:bCs/>
          <w:sz w:val="22"/>
          <w:szCs w:val="22"/>
          <w:u w:val="single"/>
        </w:rPr>
        <w:tab/>
      </w:r>
      <w:r>
        <w:rPr>
          <w:rFonts w:ascii="Calibri" w:hAnsi="Calibri"/>
          <w:b/>
          <w:bCs/>
          <w:sz w:val="22"/>
          <w:szCs w:val="22"/>
          <w:u w:val="single"/>
        </w:rPr>
        <w:tab/>
      </w:r>
      <w:r>
        <w:rPr>
          <w:rFonts w:ascii="Calibri" w:hAnsi="Calibri"/>
          <w:b/>
          <w:bCs/>
          <w:sz w:val="22"/>
          <w:szCs w:val="22"/>
          <w:u w:val="single"/>
        </w:rPr>
        <w:tab/>
      </w:r>
      <w:r>
        <w:rPr>
          <w:rFonts w:ascii="Calibri" w:hAnsi="Calibri"/>
          <w:b/>
          <w:bCs/>
          <w:sz w:val="22"/>
          <w:szCs w:val="22"/>
          <w:u w:val="single"/>
        </w:rPr>
        <w:tab/>
      </w:r>
      <w:r>
        <w:rPr>
          <w:rFonts w:ascii="Calibri" w:hAnsi="Calibri"/>
          <w:b/>
          <w:bCs/>
          <w:sz w:val="22"/>
          <w:szCs w:val="22"/>
          <w:u w:val="single"/>
        </w:rPr>
        <w:tab/>
      </w:r>
      <w:r>
        <w:rPr>
          <w:rFonts w:ascii="Calibri" w:hAnsi="Calibri"/>
          <w:b/>
          <w:bCs/>
          <w:sz w:val="22"/>
          <w:szCs w:val="22"/>
          <w:u w:val="single"/>
        </w:rPr>
        <w:tab/>
      </w:r>
      <w:r>
        <w:rPr>
          <w:rFonts w:ascii="Calibri" w:hAnsi="Calibri"/>
          <w:b/>
          <w:bCs/>
          <w:sz w:val="22"/>
          <w:szCs w:val="22"/>
          <w:u w:val="single"/>
        </w:rPr>
        <w:tab/>
      </w:r>
      <w:r>
        <w:rPr>
          <w:rFonts w:ascii="Calibri" w:hAnsi="Calibri"/>
          <w:b/>
          <w:bCs/>
          <w:sz w:val="22"/>
          <w:szCs w:val="22"/>
          <w:u w:val="single"/>
        </w:rPr>
        <w:tab/>
      </w:r>
      <w:r>
        <w:rPr>
          <w:rFonts w:ascii="Calibri" w:hAnsi="Calibri"/>
          <w:b/>
          <w:bCs/>
          <w:sz w:val="22"/>
          <w:szCs w:val="22"/>
          <w:u w:val="single"/>
        </w:rPr>
        <w:tab/>
      </w:r>
      <w:r>
        <w:rPr>
          <w:rFonts w:ascii="Calibri" w:hAnsi="Calibri"/>
          <w:b/>
          <w:bCs/>
          <w:sz w:val="22"/>
          <w:szCs w:val="22"/>
          <w:u w:val="single"/>
        </w:rPr>
        <w:tab/>
      </w:r>
      <w:r>
        <w:rPr>
          <w:rFonts w:ascii="Calibri" w:hAnsi="Calibri"/>
          <w:b/>
          <w:bCs/>
          <w:sz w:val="22"/>
          <w:szCs w:val="22"/>
          <w:u w:val="single"/>
        </w:rPr>
        <w:tab/>
      </w:r>
    </w:p>
    <w:p w:rsidR="00365CE4" w:rsidRPr="00D8307F" w:rsidRDefault="00365CE4" w:rsidP="00365CE4">
      <w:pPr>
        <w:pStyle w:val="Default"/>
        <w:rPr>
          <w:rFonts w:ascii="Calibri" w:hAnsi="Calibri"/>
          <w:b/>
          <w:bCs/>
          <w:color w:val="auto"/>
          <w:sz w:val="22"/>
          <w:szCs w:val="22"/>
        </w:rPr>
      </w:pPr>
    </w:p>
    <w:p w:rsidR="00365CE4" w:rsidRPr="00D8307F" w:rsidRDefault="00365CE4" w:rsidP="00365CE4">
      <w:pPr>
        <w:pStyle w:val="Default"/>
        <w:rPr>
          <w:rFonts w:ascii="Calibri" w:hAnsi="Calibri"/>
          <w:color w:val="auto"/>
          <w:sz w:val="22"/>
          <w:szCs w:val="22"/>
          <w:u w:val="single"/>
        </w:rPr>
      </w:pPr>
      <w:r w:rsidRPr="00D8307F">
        <w:rPr>
          <w:rFonts w:ascii="Calibri" w:hAnsi="Calibri"/>
          <w:b/>
          <w:bCs/>
          <w:color w:val="auto"/>
          <w:sz w:val="22"/>
          <w:szCs w:val="22"/>
        </w:rPr>
        <w:t xml:space="preserve">Conclusion: </w:t>
      </w:r>
      <w:r>
        <w:rPr>
          <w:rFonts w:ascii="Calibri" w:hAnsi="Calibri"/>
          <w:b/>
          <w:bCs/>
          <w:color w:val="auto"/>
          <w:sz w:val="22"/>
          <w:szCs w:val="22"/>
          <w:u w:val="single"/>
        </w:rPr>
        <w:tab/>
      </w:r>
      <w:r>
        <w:rPr>
          <w:rFonts w:ascii="Calibri" w:hAnsi="Calibri"/>
          <w:b/>
          <w:bCs/>
          <w:color w:val="auto"/>
          <w:sz w:val="22"/>
          <w:szCs w:val="22"/>
          <w:u w:val="single"/>
        </w:rPr>
        <w:tab/>
      </w:r>
      <w:r>
        <w:rPr>
          <w:rFonts w:ascii="Calibri" w:hAnsi="Calibri"/>
          <w:b/>
          <w:bCs/>
          <w:color w:val="auto"/>
          <w:sz w:val="22"/>
          <w:szCs w:val="22"/>
          <w:u w:val="single"/>
        </w:rPr>
        <w:tab/>
      </w:r>
      <w:r>
        <w:rPr>
          <w:rFonts w:ascii="Calibri" w:hAnsi="Calibri"/>
          <w:b/>
          <w:bCs/>
          <w:color w:val="auto"/>
          <w:sz w:val="22"/>
          <w:szCs w:val="22"/>
          <w:u w:val="single"/>
        </w:rPr>
        <w:tab/>
      </w:r>
      <w:r>
        <w:rPr>
          <w:rFonts w:ascii="Calibri" w:hAnsi="Calibri"/>
          <w:b/>
          <w:bCs/>
          <w:color w:val="auto"/>
          <w:sz w:val="22"/>
          <w:szCs w:val="22"/>
          <w:u w:val="single"/>
        </w:rPr>
        <w:tab/>
      </w:r>
      <w:r>
        <w:rPr>
          <w:rFonts w:ascii="Calibri" w:hAnsi="Calibri"/>
          <w:b/>
          <w:bCs/>
          <w:color w:val="auto"/>
          <w:sz w:val="22"/>
          <w:szCs w:val="22"/>
          <w:u w:val="single"/>
        </w:rPr>
        <w:tab/>
      </w:r>
      <w:r>
        <w:rPr>
          <w:rFonts w:ascii="Calibri" w:hAnsi="Calibri"/>
          <w:b/>
          <w:bCs/>
          <w:color w:val="auto"/>
          <w:sz w:val="22"/>
          <w:szCs w:val="22"/>
          <w:u w:val="single"/>
        </w:rPr>
        <w:tab/>
      </w:r>
      <w:r>
        <w:rPr>
          <w:rFonts w:ascii="Calibri" w:hAnsi="Calibri"/>
          <w:b/>
          <w:bCs/>
          <w:color w:val="auto"/>
          <w:sz w:val="22"/>
          <w:szCs w:val="22"/>
          <w:u w:val="single"/>
        </w:rPr>
        <w:tab/>
      </w:r>
      <w:r>
        <w:rPr>
          <w:rFonts w:ascii="Calibri" w:hAnsi="Calibri"/>
          <w:b/>
          <w:bCs/>
          <w:color w:val="auto"/>
          <w:sz w:val="22"/>
          <w:szCs w:val="22"/>
          <w:u w:val="single"/>
        </w:rPr>
        <w:tab/>
      </w:r>
      <w:r>
        <w:rPr>
          <w:rFonts w:ascii="Calibri" w:hAnsi="Calibri"/>
          <w:b/>
          <w:bCs/>
          <w:color w:val="auto"/>
          <w:sz w:val="22"/>
          <w:szCs w:val="22"/>
          <w:u w:val="single"/>
        </w:rPr>
        <w:tab/>
      </w:r>
      <w:r>
        <w:rPr>
          <w:rFonts w:ascii="Calibri" w:hAnsi="Calibri"/>
          <w:b/>
          <w:bCs/>
          <w:color w:val="auto"/>
          <w:sz w:val="22"/>
          <w:szCs w:val="22"/>
          <w:u w:val="single"/>
        </w:rPr>
        <w:tab/>
      </w:r>
      <w:r>
        <w:rPr>
          <w:rFonts w:ascii="Calibri" w:hAnsi="Calibri"/>
          <w:b/>
          <w:bCs/>
          <w:color w:val="auto"/>
          <w:sz w:val="22"/>
          <w:szCs w:val="22"/>
          <w:u w:val="single"/>
        </w:rPr>
        <w:tab/>
      </w:r>
    </w:p>
    <w:p w:rsidR="00365CE4" w:rsidRDefault="00365CE4" w:rsidP="00365CE4">
      <w:pPr>
        <w:pStyle w:val="Default"/>
        <w:rPr>
          <w:rFonts w:ascii="Calibri" w:hAnsi="Calibri"/>
          <w:color w:val="auto"/>
          <w:sz w:val="22"/>
          <w:szCs w:val="22"/>
        </w:rPr>
      </w:pPr>
    </w:p>
    <w:p w:rsidR="00365CE4" w:rsidRDefault="00365CE4" w:rsidP="00365CE4">
      <w:pPr>
        <w:pStyle w:val="Default"/>
        <w:rPr>
          <w:rFonts w:ascii="Calibri" w:hAnsi="Calibri"/>
          <w:color w:val="auto"/>
          <w:sz w:val="22"/>
          <w:szCs w:val="22"/>
        </w:rPr>
      </w:pPr>
    </w:p>
    <w:p w:rsidR="00365CE4" w:rsidRDefault="00365CE4" w:rsidP="00365CE4">
      <w:pPr>
        <w:pStyle w:val="Default"/>
        <w:rPr>
          <w:rFonts w:ascii="Calibri" w:hAnsi="Calibri"/>
          <w:color w:val="auto"/>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47"/>
        <w:gridCol w:w="887"/>
        <w:gridCol w:w="236"/>
        <w:gridCol w:w="1806"/>
      </w:tblGrid>
      <w:tr w:rsidR="00365CE4" w:rsidRPr="00BC24EC" w:rsidTr="00461737">
        <w:trPr>
          <w:tblHeader/>
        </w:trPr>
        <w:tc>
          <w:tcPr>
            <w:tcW w:w="6647" w:type="dxa"/>
            <w:tcBorders>
              <w:top w:val="single" w:sz="4" w:space="0" w:color="auto"/>
              <w:left w:val="single" w:sz="4" w:space="0" w:color="auto"/>
              <w:bottom w:val="single" w:sz="4" w:space="0" w:color="auto"/>
            </w:tcBorders>
            <w:shd w:val="clear" w:color="auto" w:fill="BFBFBF" w:themeFill="background1" w:themeFillShade="BF"/>
          </w:tcPr>
          <w:p w:rsidR="00365CE4" w:rsidRPr="00BC24EC" w:rsidRDefault="00365CE4" w:rsidP="00461737">
            <w:pPr>
              <w:pStyle w:val="Default"/>
              <w:rPr>
                <w:rFonts w:ascii="Calibri" w:hAnsi="Calibri"/>
                <w:b/>
                <w:color w:val="auto"/>
                <w:sz w:val="22"/>
                <w:szCs w:val="22"/>
              </w:rPr>
            </w:pPr>
          </w:p>
        </w:tc>
        <w:tc>
          <w:tcPr>
            <w:tcW w:w="887" w:type="dxa"/>
            <w:tcBorders>
              <w:top w:val="single" w:sz="4" w:space="0" w:color="auto"/>
              <w:bottom w:val="single" w:sz="4" w:space="0" w:color="auto"/>
            </w:tcBorders>
            <w:shd w:val="clear" w:color="auto" w:fill="BFBFBF" w:themeFill="background1" w:themeFillShade="BF"/>
          </w:tcPr>
          <w:p w:rsidR="00365CE4" w:rsidRPr="00BC24EC" w:rsidRDefault="00365CE4" w:rsidP="00461737">
            <w:pPr>
              <w:pStyle w:val="Default"/>
              <w:jc w:val="center"/>
              <w:rPr>
                <w:rFonts w:ascii="Calibri" w:hAnsi="Calibri"/>
                <w:b/>
                <w:color w:val="auto"/>
                <w:sz w:val="22"/>
                <w:szCs w:val="22"/>
              </w:rPr>
            </w:pPr>
          </w:p>
          <w:p w:rsidR="00365CE4" w:rsidRDefault="00365CE4" w:rsidP="00461737">
            <w:pPr>
              <w:pStyle w:val="Default"/>
              <w:jc w:val="center"/>
              <w:rPr>
                <w:rFonts w:ascii="Calibri" w:hAnsi="Calibri"/>
                <w:b/>
                <w:color w:val="auto"/>
                <w:sz w:val="22"/>
                <w:szCs w:val="22"/>
              </w:rPr>
            </w:pPr>
          </w:p>
          <w:p w:rsidR="00365CE4" w:rsidRDefault="00365CE4" w:rsidP="00461737">
            <w:pPr>
              <w:pStyle w:val="Default"/>
              <w:jc w:val="center"/>
              <w:rPr>
                <w:rFonts w:ascii="Calibri" w:hAnsi="Calibri"/>
                <w:b/>
                <w:color w:val="auto"/>
                <w:sz w:val="22"/>
                <w:szCs w:val="22"/>
              </w:rPr>
            </w:pPr>
          </w:p>
          <w:p w:rsidR="00365CE4" w:rsidRPr="00BC24EC" w:rsidRDefault="00365CE4" w:rsidP="00461737">
            <w:pPr>
              <w:pStyle w:val="Default"/>
              <w:jc w:val="center"/>
              <w:rPr>
                <w:rFonts w:ascii="Calibri" w:hAnsi="Calibri"/>
                <w:b/>
                <w:color w:val="auto"/>
                <w:sz w:val="22"/>
                <w:szCs w:val="22"/>
              </w:rPr>
            </w:pPr>
            <w:r w:rsidRPr="00BC24EC">
              <w:rPr>
                <w:rFonts w:ascii="Calibri" w:hAnsi="Calibri"/>
                <w:b/>
                <w:color w:val="auto"/>
                <w:sz w:val="22"/>
                <w:szCs w:val="22"/>
              </w:rPr>
              <w:t>Yes/No</w:t>
            </w:r>
          </w:p>
        </w:tc>
        <w:tc>
          <w:tcPr>
            <w:tcW w:w="236" w:type="dxa"/>
            <w:tcBorders>
              <w:top w:val="single" w:sz="4" w:space="0" w:color="auto"/>
              <w:bottom w:val="single" w:sz="4" w:space="0" w:color="auto"/>
            </w:tcBorders>
            <w:shd w:val="clear" w:color="auto" w:fill="BFBFBF" w:themeFill="background1" w:themeFillShade="BF"/>
          </w:tcPr>
          <w:p w:rsidR="00365CE4" w:rsidRPr="00BC24EC" w:rsidRDefault="00365CE4" w:rsidP="00461737">
            <w:pPr>
              <w:pStyle w:val="Default"/>
              <w:jc w:val="center"/>
              <w:rPr>
                <w:rFonts w:ascii="Calibri" w:hAnsi="Calibri"/>
                <w:b/>
                <w:color w:val="auto"/>
                <w:sz w:val="22"/>
                <w:szCs w:val="22"/>
              </w:rPr>
            </w:pPr>
          </w:p>
        </w:tc>
        <w:tc>
          <w:tcPr>
            <w:tcW w:w="1806" w:type="dxa"/>
            <w:tcBorders>
              <w:top w:val="single" w:sz="4" w:space="0" w:color="auto"/>
              <w:bottom w:val="single" w:sz="4" w:space="0" w:color="auto"/>
              <w:right w:val="single" w:sz="4" w:space="0" w:color="auto"/>
            </w:tcBorders>
            <w:shd w:val="clear" w:color="auto" w:fill="BFBFBF" w:themeFill="background1" w:themeFillShade="BF"/>
          </w:tcPr>
          <w:p w:rsidR="00365CE4" w:rsidRPr="00BC24EC" w:rsidRDefault="00365CE4" w:rsidP="00461737">
            <w:pPr>
              <w:pStyle w:val="Default"/>
              <w:jc w:val="center"/>
              <w:rPr>
                <w:rFonts w:ascii="Calibri" w:hAnsi="Calibri"/>
                <w:b/>
                <w:color w:val="auto"/>
                <w:sz w:val="22"/>
                <w:szCs w:val="22"/>
              </w:rPr>
            </w:pPr>
            <w:r w:rsidRPr="00BC24EC">
              <w:rPr>
                <w:rFonts w:ascii="Calibri" w:hAnsi="Calibri"/>
                <w:b/>
                <w:color w:val="auto"/>
                <w:sz w:val="22"/>
                <w:szCs w:val="22"/>
              </w:rPr>
              <w:t>Source Document/</w:t>
            </w:r>
          </w:p>
          <w:p w:rsidR="00365CE4" w:rsidRPr="00BC24EC" w:rsidRDefault="00365CE4" w:rsidP="00461737">
            <w:pPr>
              <w:pStyle w:val="Default"/>
              <w:jc w:val="center"/>
              <w:rPr>
                <w:rFonts w:ascii="Calibri" w:hAnsi="Calibri"/>
                <w:b/>
                <w:color w:val="auto"/>
                <w:sz w:val="22"/>
                <w:szCs w:val="22"/>
              </w:rPr>
            </w:pPr>
            <w:r w:rsidRPr="00BC24EC">
              <w:rPr>
                <w:rFonts w:ascii="Calibri" w:hAnsi="Calibri"/>
                <w:b/>
                <w:color w:val="auto"/>
                <w:sz w:val="22"/>
                <w:szCs w:val="22"/>
              </w:rPr>
              <w:t>Specific Reference</w:t>
            </w:r>
          </w:p>
        </w:tc>
      </w:tr>
      <w:tr w:rsidR="00365CE4" w:rsidRPr="00DD4B0D" w:rsidTr="00461737">
        <w:tc>
          <w:tcPr>
            <w:tcW w:w="6647" w:type="dxa"/>
            <w:tcBorders>
              <w:top w:val="single" w:sz="4" w:space="0" w:color="auto"/>
            </w:tcBorders>
          </w:tcPr>
          <w:p w:rsidR="00365CE4" w:rsidRDefault="00365CE4" w:rsidP="00461737">
            <w:pPr>
              <w:pStyle w:val="Default"/>
              <w:jc w:val="both"/>
              <w:rPr>
                <w:rFonts w:ascii="Calibri" w:hAnsi="Calibri"/>
                <w:b/>
                <w:sz w:val="20"/>
                <w:szCs w:val="20"/>
              </w:rPr>
            </w:pPr>
            <w:r w:rsidRPr="00BC24EC">
              <w:rPr>
                <w:rFonts w:ascii="Calibri" w:hAnsi="Calibri"/>
                <w:b/>
                <w:sz w:val="20"/>
                <w:szCs w:val="20"/>
              </w:rPr>
              <w:t>Questions 1–3 outline the criteria to determine whether the substance of the transaction is indicative of whether the sale has been substantively consummated.</w:t>
            </w:r>
          </w:p>
          <w:p w:rsidR="00365CE4" w:rsidRPr="00BC24EC" w:rsidRDefault="00365CE4" w:rsidP="00461737">
            <w:pPr>
              <w:pStyle w:val="Default"/>
              <w:jc w:val="both"/>
              <w:rPr>
                <w:rFonts w:ascii="Calibri" w:hAnsi="Calibri"/>
                <w:b/>
                <w:color w:val="auto"/>
                <w:sz w:val="20"/>
                <w:szCs w:val="20"/>
              </w:rPr>
            </w:pPr>
          </w:p>
        </w:tc>
        <w:tc>
          <w:tcPr>
            <w:tcW w:w="887" w:type="dxa"/>
            <w:tcBorders>
              <w:top w:val="single" w:sz="4" w:space="0" w:color="auto"/>
            </w:tcBorders>
          </w:tcPr>
          <w:p w:rsidR="00365CE4" w:rsidRPr="00DD4B0D" w:rsidRDefault="00365CE4" w:rsidP="00461737">
            <w:pPr>
              <w:pStyle w:val="Default"/>
              <w:jc w:val="both"/>
              <w:rPr>
                <w:rFonts w:ascii="Calibri" w:hAnsi="Calibri"/>
                <w:color w:val="auto"/>
                <w:sz w:val="20"/>
                <w:szCs w:val="20"/>
              </w:rPr>
            </w:pPr>
          </w:p>
        </w:tc>
        <w:tc>
          <w:tcPr>
            <w:tcW w:w="236" w:type="dxa"/>
            <w:tcBorders>
              <w:top w:val="single" w:sz="4" w:space="0" w:color="auto"/>
            </w:tcBorders>
          </w:tcPr>
          <w:p w:rsidR="00365CE4" w:rsidRPr="00DD4B0D" w:rsidRDefault="00365CE4" w:rsidP="00461737">
            <w:pPr>
              <w:pStyle w:val="Default"/>
              <w:jc w:val="both"/>
              <w:rPr>
                <w:rFonts w:ascii="Calibri" w:hAnsi="Calibri"/>
                <w:color w:val="auto"/>
                <w:sz w:val="20"/>
                <w:szCs w:val="20"/>
              </w:rPr>
            </w:pPr>
          </w:p>
        </w:tc>
        <w:tc>
          <w:tcPr>
            <w:tcW w:w="1806" w:type="dxa"/>
            <w:tcBorders>
              <w:top w:val="single" w:sz="4" w:space="0" w:color="auto"/>
            </w:tcBorders>
          </w:tcPr>
          <w:p w:rsidR="00365CE4" w:rsidRPr="00DD4B0D" w:rsidRDefault="00365CE4" w:rsidP="00461737">
            <w:pPr>
              <w:pStyle w:val="Default"/>
              <w:jc w:val="both"/>
              <w:rPr>
                <w:rFonts w:ascii="Calibri" w:hAnsi="Calibri"/>
                <w:color w:val="auto"/>
                <w:sz w:val="20"/>
                <w:szCs w:val="20"/>
              </w:rPr>
            </w:pPr>
          </w:p>
        </w:tc>
      </w:tr>
      <w:tr w:rsidR="00365CE4" w:rsidRPr="00DD4B0D" w:rsidTr="00461737">
        <w:tc>
          <w:tcPr>
            <w:tcW w:w="6647" w:type="dxa"/>
          </w:tcPr>
          <w:p w:rsidR="00365CE4" w:rsidRPr="00DD4B0D" w:rsidRDefault="00365CE4" w:rsidP="00461737">
            <w:pPr>
              <w:pStyle w:val="Default"/>
              <w:jc w:val="both"/>
              <w:rPr>
                <w:rFonts w:ascii="Calibri" w:hAnsi="Calibri"/>
                <w:color w:val="auto"/>
                <w:sz w:val="20"/>
                <w:szCs w:val="20"/>
              </w:rPr>
            </w:pPr>
            <w:r>
              <w:rPr>
                <w:rFonts w:ascii="Calibri" w:hAnsi="Calibri"/>
                <w:color w:val="auto"/>
                <w:sz w:val="20"/>
                <w:szCs w:val="20"/>
              </w:rPr>
              <w:t xml:space="preserve">1. </w:t>
            </w:r>
            <w:r w:rsidRPr="00DD4B0D">
              <w:rPr>
                <w:rFonts w:ascii="Calibri" w:hAnsi="Calibri"/>
                <w:color w:val="auto"/>
                <w:sz w:val="20"/>
                <w:szCs w:val="20"/>
              </w:rPr>
              <w:t>Is the transferee’s ability to subsequently sell or pledge the receivables significantly limited by the constraints imposed by the University, either in the transfer agreement or through other means</w:t>
            </w:r>
            <w:proofErr w:type="gramStart"/>
            <w:r w:rsidRPr="00DD4B0D">
              <w:rPr>
                <w:rFonts w:ascii="Calibri" w:hAnsi="Calibri"/>
                <w:color w:val="auto"/>
                <w:sz w:val="20"/>
                <w:szCs w:val="20"/>
              </w:rPr>
              <w:t xml:space="preserve">? </w:t>
            </w:r>
            <w:proofErr w:type="gramEnd"/>
            <w:r w:rsidRPr="00DD4B0D">
              <w:rPr>
                <w:rFonts w:ascii="Calibri" w:hAnsi="Calibri"/>
                <w:color w:val="auto"/>
                <w:sz w:val="20"/>
                <w:szCs w:val="20"/>
              </w:rPr>
              <w:t>(¶6a)</w:t>
            </w:r>
          </w:p>
        </w:tc>
        <w:tc>
          <w:tcPr>
            <w:tcW w:w="887" w:type="dxa"/>
            <w:tcBorders>
              <w:bottom w:val="single" w:sz="4" w:space="0" w:color="auto"/>
            </w:tcBorders>
          </w:tcPr>
          <w:p w:rsidR="00365CE4" w:rsidRPr="00DD4B0D" w:rsidRDefault="00365CE4" w:rsidP="00461737">
            <w:pPr>
              <w:pStyle w:val="Default"/>
              <w:jc w:val="both"/>
              <w:rPr>
                <w:rFonts w:ascii="Calibri" w:hAnsi="Calibri"/>
                <w:color w:val="auto"/>
                <w:sz w:val="20"/>
                <w:szCs w:val="20"/>
              </w:rPr>
            </w:pPr>
          </w:p>
        </w:tc>
        <w:tc>
          <w:tcPr>
            <w:tcW w:w="236" w:type="dxa"/>
          </w:tcPr>
          <w:p w:rsidR="00365CE4" w:rsidRPr="00DD4B0D" w:rsidRDefault="00365CE4" w:rsidP="00461737">
            <w:pPr>
              <w:pStyle w:val="Default"/>
              <w:jc w:val="both"/>
              <w:rPr>
                <w:rFonts w:ascii="Calibri" w:hAnsi="Calibri"/>
                <w:color w:val="auto"/>
                <w:sz w:val="20"/>
                <w:szCs w:val="20"/>
              </w:rPr>
            </w:pPr>
          </w:p>
        </w:tc>
        <w:tc>
          <w:tcPr>
            <w:tcW w:w="1806" w:type="dxa"/>
            <w:tcBorders>
              <w:bottom w:val="single" w:sz="4" w:space="0" w:color="auto"/>
            </w:tcBorders>
          </w:tcPr>
          <w:p w:rsidR="00365CE4" w:rsidRPr="00DD4B0D" w:rsidRDefault="00365CE4" w:rsidP="00461737">
            <w:pPr>
              <w:pStyle w:val="Default"/>
              <w:jc w:val="both"/>
              <w:rPr>
                <w:rFonts w:ascii="Calibri" w:hAnsi="Calibri"/>
                <w:color w:val="auto"/>
                <w:sz w:val="20"/>
                <w:szCs w:val="20"/>
              </w:rPr>
            </w:pPr>
          </w:p>
        </w:tc>
      </w:tr>
      <w:tr w:rsidR="00365CE4" w:rsidRPr="00DD4B0D" w:rsidTr="00461737">
        <w:tc>
          <w:tcPr>
            <w:tcW w:w="6647" w:type="dxa"/>
          </w:tcPr>
          <w:p w:rsidR="00365CE4" w:rsidRDefault="00365CE4" w:rsidP="00461737">
            <w:pPr>
              <w:pStyle w:val="Default"/>
              <w:jc w:val="both"/>
              <w:rPr>
                <w:rFonts w:ascii="Calibri" w:hAnsi="Calibri"/>
                <w:color w:val="auto"/>
                <w:sz w:val="20"/>
                <w:szCs w:val="20"/>
              </w:rPr>
            </w:pPr>
          </w:p>
          <w:p w:rsidR="00365CE4" w:rsidRPr="00DD4B0D" w:rsidRDefault="00365CE4" w:rsidP="00461737">
            <w:pPr>
              <w:pStyle w:val="Default"/>
              <w:jc w:val="both"/>
              <w:rPr>
                <w:rFonts w:ascii="Calibri" w:hAnsi="Calibri"/>
                <w:color w:val="auto"/>
                <w:sz w:val="20"/>
                <w:szCs w:val="20"/>
              </w:rPr>
            </w:pPr>
            <w:r>
              <w:rPr>
                <w:rFonts w:ascii="Calibri" w:hAnsi="Calibri"/>
                <w:color w:val="auto"/>
                <w:sz w:val="20"/>
                <w:szCs w:val="20"/>
              </w:rPr>
              <w:t xml:space="preserve">2. </w:t>
            </w:r>
            <w:r w:rsidRPr="00DD4B0D">
              <w:rPr>
                <w:rFonts w:ascii="Calibri" w:hAnsi="Calibri"/>
                <w:color w:val="auto"/>
                <w:sz w:val="20"/>
                <w:szCs w:val="20"/>
              </w:rPr>
              <w:t xml:space="preserve">Does the University have the option or ability to </w:t>
            </w:r>
            <w:r w:rsidRPr="00DD4B0D">
              <w:rPr>
                <w:rFonts w:ascii="Calibri" w:hAnsi="Calibri"/>
                <w:color w:val="auto"/>
                <w:sz w:val="20"/>
                <w:szCs w:val="20"/>
                <w:u w:val="single"/>
              </w:rPr>
              <w:t xml:space="preserve">unilaterally </w:t>
            </w:r>
            <w:r w:rsidRPr="00DD4B0D">
              <w:rPr>
                <w:rFonts w:ascii="Calibri" w:hAnsi="Calibri"/>
                <w:color w:val="auto"/>
                <w:sz w:val="20"/>
                <w:szCs w:val="20"/>
              </w:rPr>
              <w:t>substitute for or reacquire specific accounts from among the receivables transferred</w:t>
            </w:r>
            <w:proofErr w:type="gramStart"/>
            <w:r w:rsidRPr="00DD4B0D">
              <w:rPr>
                <w:rFonts w:ascii="Calibri" w:hAnsi="Calibri"/>
                <w:color w:val="auto"/>
                <w:sz w:val="20"/>
                <w:szCs w:val="20"/>
              </w:rPr>
              <w:t xml:space="preserve">? </w:t>
            </w:r>
            <w:proofErr w:type="gramEnd"/>
            <w:r w:rsidRPr="00DD4B0D">
              <w:rPr>
                <w:rFonts w:ascii="Calibri" w:hAnsi="Calibri"/>
                <w:i/>
                <w:iCs/>
                <w:color w:val="auto"/>
                <w:sz w:val="20"/>
                <w:szCs w:val="20"/>
              </w:rPr>
              <w:t>Note</w:t>
            </w:r>
            <w:r w:rsidRPr="00DD4B0D">
              <w:rPr>
                <w:rFonts w:ascii="Calibri" w:hAnsi="Calibri"/>
                <w:color w:val="auto"/>
                <w:sz w:val="20"/>
                <w:szCs w:val="20"/>
              </w:rPr>
              <w:t>: The ability or obligation to substitute for defective accounts, at the option of the transferee, would not violate this criterion</w:t>
            </w:r>
            <w:proofErr w:type="gramStart"/>
            <w:r w:rsidRPr="00DD4B0D">
              <w:rPr>
                <w:rFonts w:ascii="Calibri" w:hAnsi="Calibri"/>
                <w:color w:val="auto"/>
                <w:sz w:val="20"/>
                <w:szCs w:val="20"/>
              </w:rPr>
              <w:t xml:space="preserve">. </w:t>
            </w:r>
            <w:proofErr w:type="gramEnd"/>
            <w:r w:rsidRPr="00DD4B0D">
              <w:rPr>
                <w:rFonts w:ascii="Calibri" w:hAnsi="Calibri"/>
                <w:color w:val="auto"/>
                <w:sz w:val="20"/>
                <w:szCs w:val="20"/>
              </w:rPr>
              <w:t>For example, accounts that do not possess the characteristics stipulated in a transfer agreement may be replaced by ones that do possess those traits</w:t>
            </w:r>
            <w:proofErr w:type="gramStart"/>
            <w:r w:rsidRPr="00DD4B0D">
              <w:rPr>
                <w:rFonts w:ascii="Calibri" w:hAnsi="Calibri"/>
                <w:color w:val="auto"/>
                <w:sz w:val="20"/>
                <w:szCs w:val="20"/>
              </w:rPr>
              <w:t xml:space="preserve">. </w:t>
            </w:r>
            <w:proofErr w:type="gramEnd"/>
            <w:r w:rsidRPr="00DD4B0D">
              <w:rPr>
                <w:rFonts w:ascii="Calibri" w:hAnsi="Calibri"/>
                <w:color w:val="auto"/>
                <w:sz w:val="20"/>
                <w:szCs w:val="20"/>
              </w:rPr>
              <w:t>In addition, insignificant “clean-up” calls by which the University may reacquire remaining uncollected accounts when the outstanding secured debt reaches a specified minimum balance would likewise not violate this criterion</w:t>
            </w:r>
            <w:proofErr w:type="gramStart"/>
            <w:r w:rsidRPr="00DD4B0D">
              <w:rPr>
                <w:rFonts w:ascii="Calibri" w:hAnsi="Calibri"/>
                <w:color w:val="auto"/>
                <w:sz w:val="20"/>
                <w:szCs w:val="20"/>
              </w:rPr>
              <w:t xml:space="preserve">. </w:t>
            </w:r>
            <w:proofErr w:type="gramEnd"/>
            <w:r w:rsidRPr="00DD4B0D">
              <w:rPr>
                <w:rFonts w:ascii="Calibri" w:hAnsi="Calibri"/>
                <w:color w:val="auto"/>
                <w:sz w:val="20"/>
                <w:szCs w:val="20"/>
              </w:rPr>
              <w:t>(¶6b)</w:t>
            </w:r>
          </w:p>
        </w:tc>
        <w:tc>
          <w:tcPr>
            <w:tcW w:w="887" w:type="dxa"/>
            <w:tcBorders>
              <w:top w:val="single" w:sz="4" w:space="0" w:color="auto"/>
              <w:bottom w:val="single" w:sz="4" w:space="0" w:color="auto"/>
            </w:tcBorders>
          </w:tcPr>
          <w:p w:rsidR="00365CE4" w:rsidRPr="00DD4B0D" w:rsidRDefault="00365CE4" w:rsidP="00461737">
            <w:pPr>
              <w:pStyle w:val="Default"/>
              <w:jc w:val="both"/>
              <w:rPr>
                <w:rFonts w:ascii="Calibri" w:hAnsi="Calibri"/>
                <w:color w:val="auto"/>
                <w:sz w:val="20"/>
                <w:szCs w:val="20"/>
              </w:rPr>
            </w:pPr>
          </w:p>
        </w:tc>
        <w:tc>
          <w:tcPr>
            <w:tcW w:w="236" w:type="dxa"/>
          </w:tcPr>
          <w:p w:rsidR="00365CE4" w:rsidRPr="00DD4B0D" w:rsidRDefault="00365CE4" w:rsidP="00461737">
            <w:pPr>
              <w:pStyle w:val="Default"/>
              <w:jc w:val="both"/>
              <w:rPr>
                <w:rFonts w:ascii="Calibri" w:hAnsi="Calibri"/>
                <w:color w:val="auto"/>
                <w:sz w:val="20"/>
                <w:szCs w:val="20"/>
              </w:rPr>
            </w:pPr>
          </w:p>
        </w:tc>
        <w:tc>
          <w:tcPr>
            <w:tcW w:w="1806" w:type="dxa"/>
            <w:tcBorders>
              <w:top w:val="single" w:sz="4" w:space="0" w:color="auto"/>
              <w:bottom w:val="single" w:sz="4" w:space="0" w:color="auto"/>
            </w:tcBorders>
          </w:tcPr>
          <w:p w:rsidR="00365CE4" w:rsidRPr="00DD4B0D" w:rsidRDefault="00365CE4" w:rsidP="00461737">
            <w:pPr>
              <w:pStyle w:val="Default"/>
              <w:jc w:val="both"/>
              <w:rPr>
                <w:rFonts w:ascii="Calibri" w:hAnsi="Calibri"/>
                <w:color w:val="auto"/>
                <w:sz w:val="20"/>
                <w:szCs w:val="20"/>
              </w:rPr>
            </w:pPr>
          </w:p>
        </w:tc>
      </w:tr>
      <w:tr w:rsidR="00365CE4" w:rsidRPr="00DD4B0D" w:rsidTr="00461737">
        <w:tc>
          <w:tcPr>
            <w:tcW w:w="6647" w:type="dxa"/>
          </w:tcPr>
          <w:p w:rsidR="00365CE4" w:rsidRDefault="00365CE4" w:rsidP="00461737">
            <w:pPr>
              <w:pStyle w:val="Default"/>
              <w:jc w:val="both"/>
              <w:rPr>
                <w:rFonts w:ascii="Calibri" w:hAnsi="Calibri"/>
                <w:color w:val="auto"/>
                <w:sz w:val="20"/>
                <w:szCs w:val="20"/>
              </w:rPr>
            </w:pPr>
          </w:p>
          <w:p w:rsidR="00365CE4" w:rsidRPr="00DD4B0D" w:rsidRDefault="00365CE4" w:rsidP="00461737">
            <w:pPr>
              <w:pStyle w:val="Default"/>
              <w:jc w:val="both"/>
              <w:rPr>
                <w:rFonts w:ascii="Calibri" w:hAnsi="Calibri"/>
                <w:color w:val="auto"/>
                <w:sz w:val="20"/>
                <w:szCs w:val="20"/>
              </w:rPr>
            </w:pPr>
            <w:r w:rsidRPr="00DD4B0D">
              <w:rPr>
                <w:rFonts w:ascii="Calibri" w:hAnsi="Calibri"/>
                <w:color w:val="auto"/>
                <w:sz w:val="20"/>
                <w:szCs w:val="20"/>
              </w:rPr>
              <w:t>3. Is the sale agreement cancellable by either party, including cancellation through payment of a lump sum or transfer of other assets or rights</w:t>
            </w:r>
            <w:proofErr w:type="gramStart"/>
            <w:r w:rsidRPr="00DD4B0D">
              <w:rPr>
                <w:rFonts w:ascii="Calibri" w:hAnsi="Calibri"/>
                <w:color w:val="auto"/>
                <w:sz w:val="20"/>
                <w:szCs w:val="20"/>
              </w:rPr>
              <w:t xml:space="preserve">? </w:t>
            </w:r>
            <w:proofErr w:type="gramEnd"/>
            <w:r>
              <w:rPr>
                <w:rFonts w:ascii="Calibri" w:hAnsi="Calibri"/>
                <w:color w:val="auto"/>
                <w:sz w:val="20"/>
                <w:szCs w:val="20"/>
              </w:rPr>
              <w:t>(¶6c)</w:t>
            </w:r>
          </w:p>
        </w:tc>
        <w:tc>
          <w:tcPr>
            <w:tcW w:w="887" w:type="dxa"/>
            <w:tcBorders>
              <w:top w:val="single" w:sz="4" w:space="0" w:color="auto"/>
              <w:bottom w:val="single" w:sz="4" w:space="0" w:color="auto"/>
            </w:tcBorders>
          </w:tcPr>
          <w:p w:rsidR="00365CE4" w:rsidRPr="00DD4B0D" w:rsidRDefault="00365CE4" w:rsidP="00461737">
            <w:pPr>
              <w:pStyle w:val="Default"/>
              <w:jc w:val="both"/>
              <w:rPr>
                <w:rFonts w:ascii="Calibri" w:hAnsi="Calibri"/>
                <w:color w:val="auto"/>
                <w:sz w:val="20"/>
                <w:szCs w:val="20"/>
              </w:rPr>
            </w:pPr>
          </w:p>
        </w:tc>
        <w:tc>
          <w:tcPr>
            <w:tcW w:w="236" w:type="dxa"/>
          </w:tcPr>
          <w:p w:rsidR="00365CE4" w:rsidRPr="00DD4B0D" w:rsidRDefault="00365CE4" w:rsidP="00461737">
            <w:pPr>
              <w:pStyle w:val="Default"/>
              <w:jc w:val="both"/>
              <w:rPr>
                <w:rFonts w:ascii="Calibri" w:hAnsi="Calibri"/>
                <w:color w:val="auto"/>
                <w:sz w:val="20"/>
                <w:szCs w:val="20"/>
              </w:rPr>
            </w:pPr>
          </w:p>
        </w:tc>
        <w:tc>
          <w:tcPr>
            <w:tcW w:w="1806" w:type="dxa"/>
            <w:tcBorders>
              <w:top w:val="single" w:sz="4" w:space="0" w:color="auto"/>
              <w:bottom w:val="single" w:sz="4" w:space="0" w:color="auto"/>
            </w:tcBorders>
          </w:tcPr>
          <w:p w:rsidR="00365CE4" w:rsidRPr="00DD4B0D" w:rsidRDefault="00365CE4" w:rsidP="00461737">
            <w:pPr>
              <w:pStyle w:val="Default"/>
              <w:jc w:val="both"/>
              <w:rPr>
                <w:rFonts w:ascii="Calibri" w:hAnsi="Calibri"/>
                <w:color w:val="auto"/>
                <w:sz w:val="20"/>
                <w:szCs w:val="20"/>
              </w:rPr>
            </w:pPr>
          </w:p>
        </w:tc>
      </w:tr>
      <w:tr w:rsidR="00365CE4" w:rsidRPr="003F63DB" w:rsidTr="00461737">
        <w:tc>
          <w:tcPr>
            <w:tcW w:w="6647" w:type="dxa"/>
          </w:tcPr>
          <w:p w:rsidR="00365CE4" w:rsidRDefault="00365CE4" w:rsidP="00461737">
            <w:pPr>
              <w:pStyle w:val="Default"/>
              <w:jc w:val="both"/>
              <w:rPr>
                <w:rFonts w:ascii="Calibri" w:hAnsi="Calibri"/>
                <w:color w:val="auto"/>
                <w:sz w:val="20"/>
                <w:szCs w:val="20"/>
              </w:rPr>
            </w:pPr>
          </w:p>
          <w:p w:rsidR="00365CE4" w:rsidRPr="00BC24EC" w:rsidRDefault="00365CE4" w:rsidP="00461737">
            <w:pPr>
              <w:pStyle w:val="Default"/>
              <w:jc w:val="both"/>
              <w:rPr>
                <w:rFonts w:ascii="Calibri" w:hAnsi="Calibri"/>
                <w:color w:val="auto"/>
                <w:sz w:val="20"/>
                <w:szCs w:val="20"/>
              </w:rPr>
            </w:pPr>
            <w:r w:rsidRPr="00BC24EC">
              <w:rPr>
                <w:rFonts w:ascii="Calibri" w:hAnsi="Calibri"/>
                <w:color w:val="auto"/>
                <w:sz w:val="20"/>
                <w:szCs w:val="20"/>
              </w:rPr>
              <w:t xml:space="preserve">Questions 4–6 outline the criteria to determine whether the transferee has a separate legal standing from the University.  </w:t>
            </w:r>
          </w:p>
        </w:tc>
        <w:tc>
          <w:tcPr>
            <w:tcW w:w="887" w:type="dxa"/>
            <w:tcBorders>
              <w:top w:val="single" w:sz="4" w:space="0" w:color="auto"/>
            </w:tcBorders>
          </w:tcPr>
          <w:p w:rsidR="00365CE4" w:rsidRPr="003F63DB" w:rsidRDefault="00365CE4" w:rsidP="00461737">
            <w:pPr>
              <w:pStyle w:val="Default"/>
              <w:jc w:val="both"/>
              <w:rPr>
                <w:rFonts w:ascii="Calibri" w:hAnsi="Calibri"/>
                <w:color w:val="auto"/>
                <w:sz w:val="20"/>
                <w:szCs w:val="20"/>
              </w:rPr>
            </w:pPr>
          </w:p>
        </w:tc>
        <w:tc>
          <w:tcPr>
            <w:tcW w:w="236" w:type="dxa"/>
          </w:tcPr>
          <w:p w:rsidR="00365CE4" w:rsidRPr="003F63DB" w:rsidRDefault="00365CE4" w:rsidP="00461737">
            <w:pPr>
              <w:pStyle w:val="Default"/>
              <w:jc w:val="both"/>
              <w:rPr>
                <w:rFonts w:ascii="Calibri" w:hAnsi="Calibri"/>
                <w:color w:val="auto"/>
                <w:sz w:val="20"/>
                <w:szCs w:val="20"/>
              </w:rPr>
            </w:pPr>
          </w:p>
        </w:tc>
        <w:tc>
          <w:tcPr>
            <w:tcW w:w="1806" w:type="dxa"/>
            <w:tcBorders>
              <w:top w:val="single" w:sz="4" w:space="0" w:color="auto"/>
            </w:tcBorders>
          </w:tcPr>
          <w:p w:rsidR="00365CE4" w:rsidRPr="003F63DB" w:rsidRDefault="00365CE4" w:rsidP="00461737">
            <w:pPr>
              <w:pStyle w:val="Default"/>
              <w:jc w:val="both"/>
              <w:rPr>
                <w:rFonts w:ascii="Calibri" w:hAnsi="Calibri"/>
                <w:color w:val="auto"/>
                <w:sz w:val="20"/>
                <w:szCs w:val="20"/>
              </w:rPr>
            </w:pPr>
          </w:p>
        </w:tc>
      </w:tr>
      <w:tr w:rsidR="00365CE4" w:rsidRPr="00DD4B0D" w:rsidTr="00461737">
        <w:tc>
          <w:tcPr>
            <w:tcW w:w="6647" w:type="dxa"/>
          </w:tcPr>
          <w:p w:rsidR="00365CE4" w:rsidRDefault="00365CE4" w:rsidP="00461737">
            <w:pPr>
              <w:pStyle w:val="Default"/>
              <w:jc w:val="both"/>
              <w:rPr>
                <w:rFonts w:ascii="Calibri" w:hAnsi="Calibri"/>
                <w:color w:val="auto"/>
                <w:sz w:val="20"/>
                <w:szCs w:val="20"/>
              </w:rPr>
            </w:pPr>
          </w:p>
          <w:p w:rsidR="00365CE4" w:rsidRPr="00BC24EC" w:rsidRDefault="00365CE4" w:rsidP="00461737">
            <w:pPr>
              <w:pStyle w:val="Default"/>
              <w:jc w:val="both"/>
              <w:rPr>
                <w:rFonts w:ascii="Calibri" w:hAnsi="Calibri"/>
                <w:color w:val="auto"/>
                <w:sz w:val="20"/>
                <w:szCs w:val="20"/>
              </w:rPr>
            </w:pPr>
            <w:r w:rsidRPr="00BC24EC">
              <w:rPr>
                <w:rFonts w:ascii="Calibri" w:hAnsi="Calibri"/>
                <w:color w:val="auto"/>
                <w:sz w:val="20"/>
                <w:szCs w:val="20"/>
              </w:rPr>
              <w:t>4. Is the separate organization’s legal entity the same as the University’s legal entity</w:t>
            </w:r>
            <w:proofErr w:type="gramStart"/>
            <w:r w:rsidRPr="00BC24EC">
              <w:rPr>
                <w:rFonts w:ascii="Calibri" w:hAnsi="Calibri"/>
                <w:color w:val="auto"/>
                <w:sz w:val="20"/>
                <w:szCs w:val="20"/>
              </w:rPr>
              <w:t xml:space="preserve">? </w:t>
            </w:r>
            <w:proofErr w:type="gramEnd"/>
            <w:r w:rsidRPr="00BC24EC">
              <w:rPr>
                <w:rFonts w:ascii="Calibri" w:hAnsi="Calibri"/>
                <w:color w:val="auto"/>
                <w:sz w:val="20"/>
                <w:szCs w:val="20"/>
              </w:rPr>
              <w:t xml:space="preserve">(¶7a) </w:t>
            </w:r>
          </w:p>
        </w:tc>
        <w:tc>
          <w:tcPr>
            <w:tcW w:w="887" w:type="dxa"/>
            <w:tcBorders>
              <w:bottom w:val="single" w:sz="4" w:space="0" w:color="auto"/>
            </w:tcBorders>
          </w:tcPr>
          <w:p w:rsidR="00365CE4" w:rsidRPr="00DD4B0D" w:rsidRDefault="00365CE4" w:rsidP="00461737">
            <w:pPr>
              <w:pStyle w:val="Default"/>
              <w:jc w:val="both"/>
              <w:rPr>
                <w:rFonts w:ascii="Calibri" w:hAnsi="Calibri"/>
                <w:color w:val="auto"/>
                <w:sz w:val="20"/>
                <w:szCs w:val="20"/>
              </w:rPr>
            </w:pPr>
          </w:p>
        </w:tc>
        <w:tc>
          <w:tcPr>
            <w:tcW w:w="236" w:type="dxa"/>
          </w:tcPr>
          <w:p w:rsidR="00365CE4" w:rsidRPr="00DD4B0D" w:rsidRDefault="00365CE4" w:rsidP="00461737">
            <w:pPr>
              <w:pStyle w:val="Default"/>
              <w:jc w:val="both"/>
              <w:rPr>
                <w:rFonts w:ascii="Calibri" w:hAnsi="Calibri"/>
                <w:color w:val="auto"/>
                <w:sz w:val="20"/>
                <w:szCs w:val="20"/>
              </w:rPr>
            </w:pPr>
          </w:p>
        </w:tc>
        <w:tc>
          <w:tcPr>
            <w:tcW w:w="1806" w:type="dxa"/>
            <w:tcBorders>
              <w:bottom w:val="single" w:sz="4" w:space="0" w:color="auto"/>
            </w:tcBorders>
          </w:tcPr>
          <w:p w:rsidR="00365CE4" w:rsidRPr="00DD4B0D" w:rsidRDefault="00365CE4" w:rsidP="00461737">
            <w:pPr>
              <w:pStyle w:val="Default"/>
              <w:jc w:val="both"/>
              <w:rPr>
                <w:rFonts w:ascii="Calibri" w:hAnsi="Calibri"/>
                <w:color w:val="auto"/>
                <w:sz w:val="20"/>
                <w:szCs w:val="20"/>
              </w:rPr>
            </w:pPr>
          </w:p>
        </w:tc>
      </w:tr>
      <w:tr w:rsidR="00365CE4" w:rsidRPr="00DD4B0D" w:rsidTr="00461737">
        <w:trPr>
          <w:cantSplit/>
        </w:trPr>
        <w:tc>
          <w:tcPr>
            <w:tcW w:w="6647" w:type="dxa"/>
          </w:tcPr>
          <w:p w:rsidR="00365CE4" w:rsidRPr="00BC24EC" w:rsidRDefault="00365CE4" w:rsidP="00461737">
            <w:pPr>
              <w:pStyle w:val="Default"/>
              <w:jc w:val="both"/>
              <w:rPr>
                <w:rFonts w:ascii="Calibri" w:hAnsi="Calibri"/>
                <w:color w:val="auto"/>
                <w:sz w:val="20"/>
                <w:szCs w:val="20"/>
              </w:rPr>
            </w:pPr>
            <w:r w:rsidRPr="00BC24EC">
              <w:rPr>
                <w:rFonts w:ascii="Calibri" w:hAnsi="Calibri"/>
                <w:color w:val="auto"/>
                <w:sz w:val="20"/>
                <w:szCs w:val="20"/>
              </w:rPr>
              <w:lastRenderedPageBreak/>
              <w:t>5. Do the corporate powers of the transferee organization fail to distinguish it as being legally separate from the University</w:t>
            </w:r>
            <w:proofErr w:type="gramStart"/>
            <w:r w:rsidRPr="00BC24EC">
              <w:rPr>
                <w:rFonts w:ascii="Calibri" w:hAnsi="Calibri"/>
                <w:color w:val="auto"/>
                <w:sz w:val="20"/>
                <w:szCs w:val="20"/>
              </w:rPr>
              <w:t xml:space="preserve">? </w:t>
            </w:r>
            <w:proofErr w:type="gramEnd"/>
            <w:r w:rsidRPr="00BC24EC">
              <w:rPr>
                <w:rFonts w:ascii="Calibri" w:hAnsi="Calibri"/>
                <w:color w:val="auto"/>
                <w:sz w:val="20"/>
                <w:szCs w:val="20"/>
              </w:rPr>
              <w:t xml:space="preserve">(¶7a) </w:t>
            </w:r>
          </w:p>
        </w:tc>
        <w:tc>
          <w:tcPr>
            <w:tcW w:w="887" w:type="dxa"/>
            <w:tcBorders>
              <w:top w:val="single" w:sz="4" w:space="0" w:color="auto"/>
              <w:bottom w:val="single" w:sz="4" w:space="0" w:color="auto"/>
            </w:tcBorders>
            <w:vAlign w:val="bottom"/>
          </w:tcPr>
          <w:p w:rsidR="00365CE4" w:rsidRPr="00DD4B0D" w:rsidRDefault="00365CE4" w:rsidP="00461737">
            <w:pPr>
              <w:pStyle w:val="Default"/>
              <w:jc w:val="center"/>
              <w:rPr>
                <w:rFonts w:ascii="Calibri" w:hAnsi="Calibri"/>
                <w:color w:val="auto"/>
                <w:sz w:val="20"/>
                <w:szCs w:val="20"/>
              </w:rPr>
            </w:pPr>
          </w:p>
        </w:tc>
        <w:tc>
          <w:tcPr>
            <w:tcW w:w="236" w:type="dxa"/>
          </w:tcPr>
          <w:p w:rsidR="00365CE4" w:rsidRPr="00DD4B0D" w:rsidRDefault="00365CE4" w:rsidP="00461737">
            <w:pPr>
              <w:pStyle w:val="Default"/>
              <w:jc w:val="both"/>
              <w:rPr>
                <w:rFonts w:ascii="Calibri" w:hAnsi="Calibri"/>
                <w:color w:val="auto"/>
                <w:sz w:val="20"/>
                <w:szCs w:val="20"/>
              </w:rPr>
            </w:pPr>
          </w:p>
        </w:tc>
        <w:tc>
          <w:tcPr>
            <w:tcW w:w="1806" w:type="dxa"/>
            <w:tcBorders>
              <w:top w:val="single" w:sz="4" w:space="0" w:color="auto"/>
              <w:bottom w:val="single" w:sz="4" w:space="0" w:color="auto"/>
            </w:tcBorders>
          </w:tcPr>
          <w:p w:rsidR="00365CE4" w:rsidRPr="00DD4B0D" w:rsidRDefault="00365CE4" w:rsidP="00461737">
            <w:pPr>
              <w:pStyle w:val="Default"/>
              <w:jc w:val="both"/>
              <w:rPr>
                <w:rFonts w:ascii="Calibri" w:hAnsi="Calibri"/>
                <w:color w:val="auto"/>
                <w:sz w:val="20"/>
                <w:szCs w:val="20"/>
              </w:rPr>
            </w:pPr>
          </w:p>
        </w:tc>
      </w:tr>
      <w:tr w:rsidR="00365CE4" w:rsidRPr="00DD4B0D" w:rsidTr="00461737">
        <w:tc>
          <w:tcPr>
            <w:tcW w:w="6647" w:type="dxa"/>
          </w:tcPr>
          <w:p w:rsidR="00365CE4" w:rsidRDefault="00365CE4" w:rsidP="00461737">
            <w:pPr>
              <w:pStyle w:val="Default"/>
              <w:jc w:val="both"/>
              <w:rPr>
                <w:rFonts w:ascii="Calibri" w:hAnsi="Calibri"/>
                <w:color w:val="auto"/>
                <w:sz w:val="20"/>
                <w:szCs w:val="20"/>
              </w:rPr>
            </w:pPr>
          </w:p>
          <w:p w:rsidR="00365CE4" w:rsidRPr="00BC24EC" w:rsidRDefault="00365CE4" w:rsidP="00461737">
            <w:pPr>
              <w:pStyle w:val="Default"/>
              <w:jc w:val="both"/>
              <w:rPr>
                <w:rFonts w:ascii="Calibri" w:hAnsi="Calibri"/>
                <w:color w:val="auto"/>
                <w:sz w:val="20"/>
                <w:szCs w:val="20"/>
              </w:rPr>
            </w:pPr>
            <w:r w:rsidRPr="00BC24EC">
              <w:rPr>
                <w:rFonts w:ascii="Calibri" w:hAnsi="Calibri"/>
                <w:color w:val="auto"/>
                <w:sz w:val="20"/>
                <w:szCs w:val="20"/>
              </w:rPr>
              <w:t>6. Do the corporate powers of the transferee organization preclude it from being sued in its own name without recourse to the University, or preclude it from the right to buy or sell, lease or mortgage property without the University’s approval</w:t>
            </w:r>
            <w:proofErr w:type="gramStart"/>
            <w:r w:rsidRPr="00BC24EC">
              <w:rPr>
                <w:rFonts w:ascii="Calibri" w:hAnsi="Calibri"/>
                <w:color w:val="auto"/>
                <w:sz w:val="20"/>
                <w:szCs w:val="20"/>
              </w:rPr>
              <w:t xml:space="preserve">? </w:t>
            </w:r>
            <w:proofErr w:type="gramEnd"/>
            <w:r w:rsidRPr="00BC24EC">
              <w:rPr>
                <w:rFonts w:ascii="Calibri" w:hAnsi="Calibri"/>
                <w:color w:val="auto"/>
                <w:sz w:val="20"/>
                <w:szCs w:val="20"/>
              </w:rPr>
              <w:t xml:space="preserve">(¶7a) </w:t>
            </w:r>
          </w:p>
        </w:tc>
        <w:tc>
          <w:tcPr>
            <w:tcW w:w="887" w:type="dxa"/>
            <w:tcBorders>
              <w:top w:val="single" w:sz="4" w:space="0" w:color="auto"/>
              <w:bottom w:val="single" w:sz="4" w:space="0" w:color="auto"/>
            </w:tcBorders>
          </w:tcPr>
          <w:p w:rsidR="00365CE4" w:rsidRPr="00DD4B0D" w:rsidRDefault="00365CE4" w:rsidP="00461737">
            <w:pPr>
              <w:pStyle w:val="Default"/>
              <w:jc w:val="both"/>
              <w:rPr>
                <w:rFonts w:ascii="Calibri" w:hAnsi="Calibri"/>
                <w:color w:val="auto"/>
                <w:sz w:val="20"/>
                <w:szCs w:val="20"/>
              </w:rPr>
            </w:pPr>
          </w:p>
        </w:tc>
        <w:tc>
          <w:tcPr>
            <w:tcW w:w="236" w:type="dxa"/>
          </w:tcPr>
          <w:p w:rsidR="00365CE4" w:rsidRPr="00DD4B0D" w:rsidRDefault="00365CE4" w:rsidP="00461737">
            <w:pPr>
              <w:pStyle w:val="Default"/>
              <w:jc w:val="both"/>
              <w:rPr>
                <w:rFonts w:ascii="Calibri" w:hAnsi="Calibri"/>
                <w:color w:val="auto"/>
                <w:sz w:val="20"/>
                <w:szCs w:val="20"/>
              </w:rPr>
            </w:pPr>
          </w:p>
        </w:tc>
        <w:tc>
          <w:tcPr>
            <w:tcW w:w="1806" w:type="dxa"/>
            <w:tcBorders>
              <w:top w:val="single" w:sz="4" w:space="0" w:color="auto"/>
              <w:bottom w:val="single" w:sz="4" w:space="0" w:color="auto"/>
            </w:tcBorders>
          </w:tcPr>
          <w:p w:rsidR="00365CE4" w:rsidRPr="00DD4B0D" w:rsidRDefault="00365CE4" w:rsidP="00461737">
            <w:pPr>
              <w:pStyle w:val="Default"/>
              <w:jc w:val="both"/>
              <w:rPr>
                <w:rFonts w:ascii="Calibri" w:hAnsi="Calibri"/>
                <w:color w:val="auto"/>
                <w:sz w:val="20"/>
                <w:szCs w:val="20"/>
              </w:rPr>
            </w:pPr>
          </w:p>
        </w:tc>
      </w:tr>
      <w:tr w:rsidR="00365CE4" w:rsidRPr="00DD4B0D" w:rsidTr="00461737">
        <w:tc>
          <w:tcPr>
            <w:tcW w:w="6647" w:type="dxa"/>
          </w:tcPr>
          <w:p w:rsidR="00365CE4" w:rsidRDefault="00365CE4" w:rsidP="00461737">
            <w:pPr>
              <w:pStyle w:val="Default"/>
              <w:jc w:val="both"/>
              <w:rPr>
                <w:rFonts w:ascii="Calibri" w:hAnsi="Calibri"/>
                <w:b/>
                <w:color w:val="auto"/>
                <w:sz w:val="20"/>
                <w:szCs w:val="20"/>
              </w:rPr>
            </w:pPr>
          </w:p>
          <w:p w:rsidR="00365CE4" w:rsidRDefault="00365CE4" w:rsidP="00461737">
            <w:pPr>
              <w:pStyle w:val="Default"/>
              <w:jc w:val="both"/>
              <w:rPr>
                <w:rFonts w:ascii="Calibri" w:hAnsi="Calibri"/>
                <w:b/>
                <w:color w:val="auto"/>
                <w:sz w:val="20"/>
                <w:szCs w:val="20"/>
              </w:rPr>
            </w:pPr>
            <w:r w:rsidRPr="00BC24EC">
              <w:rPr>
                <w:rFonts w:ascii="Calibri" w:hAnsi="Calibri"/>
                <w:b/>
                <w:color w:val="auto"/>
                <w:sz w:val="20"/>
                <w:szCs w:val="20"/>
              </w:rPr>
              <w:t xml:space="preserve">Question 7 outlines the criteria to determine whether the receivables are isolated from the University should it become the subject of a bankruptcy proceeding.  </w:t>
            </w:r>
          </w:p>
          <w:p w:rsidR="00365CE4" w:rsidRPr="00BC24EC" w:rsidRDefault="00365CE4" w:rsidP="00461737">
            <w:pPr>
              <w:pStyle w:val="Default"/>
              <w:jc w:val="both"/>
              <w:rPr>
                <w:rFonts w:ascii="Calibri" w:hAnsi="Calibri"/>
                <w:b/>
                <w:color w:val="auto"/>
                <w:sz w:val="20"/>
                <w:szCs w:val="20"/>
              </w:rPr>
            </w:pPr>
          </w:p>
        </w:tc>
        <w:tc>
          <w:tcPr>
            <w:tcW w:w="887" w:type="dxa"/>
            <w:tcBorders>
              <w:top w:val="single" w:sz="4" w:space="0" w:color="auto"/>
            </w:tcBorders>
          </w:tcPr>
          <w:p w:rsidR="00365CE4" w:rsidRPr="00DD4B0D" w:rsidRDefault="00365CE4" w:rsidP="00461737">
            <w:pPr>
              <w:pStyle w:val="Default"/>
              <w:jc w:val="both"/>
              <w:rPr>
                <w:rFonts w:ascii="Calibri" w:hAnsi="Calibri"/>
                <w:color w:val="auto"/>
                <w:sz w:val="20"/>
                <w:szCs w:val="20"/>
              </w:rPr>
            </w:pPr>
          </w:p>
        </w:tc>
        <w:tc>
          <w:tcPr>
            <w:tcW w:w="236" w:type="dxa"/>
          </w:tcPr>
          <w:p w:rsidR="00365CE4" w:rsidRPr="00DD4B0D" w:rsidRDefault="00365CE4" w:rsidP="00461737">
            <w:pPr>
              <w:pStyle w:val="Default"/>
              <w:jc w:val="both"/>
              <w:rPr>
                <w:rFonts w:ascii="Calibri" w:hAnsi="Calibri"/>
                <w:color w:val="auto"/>
                <w:sz w:val="20"/>
                <w:szCs w:val="20"/>
              </w:rPr>
            </w:pPr>
          </w:p>
        </w:tc>
        <w:tc>
          <w:tcPr>
            <w:tcW w:w="1806" w:type="dxa"/>
            <w:tcBorders>
              <w:top w:val="single" w:sz="4" w:space="0" w:color="auto"/>
            </w:tcBorders>
          </w:tcPr>
          <w:p w:rsidR="00365CE4" w:rsidRPr="00DD4B0D" w:rsidRDefault="00365CE4" w:rsidP="00461737">
            <w:pPr>
              <w:pStyle w:val="Default"/>
              <w:jc w:val="both"/>
              <w:rPr>
                <w:rFonts w:ascii="Calibri" w:hAnsi="Calibri"/>
                <w:color w:val="auto"/>
                <w:sz w:val="20"/>
                <w:szCs w:val="20"/>
              </w:rPr>
            </w:pPr>
          </w:p>
        </w:tc>
      </w:tr>
      <w:tr w:rsidR="00365CE4" w:rsidRPr="00DD4B0D" w:rsidTr="00461737">
        <w:trPr>
          <w:trHeight w:val="710"/>
        </w:trPr>
        <w:tc>
          <w:tcPr>
            <w:tcW w:w="6647" w:type="dxa"/>
          </w:tcPr>
          <w:p w:rsidR="00365CE4" w:rsidRDefault="00365CE4" w:rsidP="00461737">
            <w:pPr>
              <w:pStyle w:val="Default"/>
              <w:jc w:val="both"/>
              <w:rPr>
                <w:rFonts w:ascii="Calibri" w:hAnsi="Calibri"/>
                <w:color w:val="auto"/>
                <w:sz w:val="20"/>
                <w:szCs w:val="20"/>
              </w:rPr>
            </w:pPr>
            <w:r>
              <w:rPr>
                <w:rFonts w:ascii="Calibri" w:hAnsi="Calibri"/>
                <w:color w:val="auto"/>
                <w:sz w:val="20"/>
                <w:szCs w:val="20"/>
              </w:rPr>
              <w:t xml:space="preserve">7. </w:t>
            </w:r>
            <w:r w:rsidRPr="00BC24EC">
              <w:rPr>
                <w:rFonts w:ascii="Calibri" w:hAnsi="Calibri"/>
                <w:color w:val="auto"/>
                <w:sz w:val="20"/>
                <w:szCs w:val="20"/>
              </w:rPr>
              <w:t>Do provisions in the transfer agreement (or provided elsewhere in statutes, charters or other governing documents or agreements) fail to protect the transferee from the claims of the University’s creditors</w:t>
            </w:r>
            <w:proofErr w:type="gramStart"/>
            <w:r w:rsidRPr="00BC24EC">
              <w:rPr>
                <w:rFonts w:ascii="Calibri" w:hAnsi="Calibri"/>
                <w:color w:val="auto"/>
                <w:sz w:val="20"/>
                <w:szCs w:val="20"/>
              </w:rPr>
              <w:t xml:space="preserve">? </w:t>
            </w:r>
            <w:proofErr w:type="gramEnd"/>
            <w:r w:rsidRPr="00BC24EC">
              <w:rPr>
                <w:rFonts w:ascii="Calibri" w:hAnsi="Calibri"/>
                <w:color w:val="auto"/>
                <w:sz w:val="20"/>
                <w:szCs w:val="20"/>
              </w:rPr>
              <w:t xml:space="preserve">(¶7c) </w:t>
            </w:r>
          </w:p>
        </w:tc>
        <w:tc>
          <w:tcPr>
            <w:tcW w:w="887" w:type="dxa"/>
            <w:tcBorders>
              <w:bottom w:val="single" w:sz="4" w:space="0" w:color="auto"/>
            </w:tcBorders>
          </w:tcPr>
          <w:p w:rsidR="00365CE4" w:rsidRPr="00DD4B0D" w:rsidRDefault="00365CE4" w:rsidP="00461737">
            <w:pPr>
              <w:pStyle w:val="Default"/>
              <w:jc w:val="both"/>
              <w:rPr>
                <w:rFonts w:ascii="Calibri" w:hAnsi="Calibri"/>
                <w:color w:val="auto"/>
                <w:sz w:val="20"/>
                <w:szCs w:val="20"/>
              </w:rPr>
            </w:pPr>
          </w:p>
        </w:tc>
        <w:tc>
          <w:tcPr>
            <w:tcW w:w="236" w:type="dxa"/>
          </w:tcPr>
          <w:p w:rsidR="00365CE4" w:rsidRPr="00DD4B0D" w:rsidRDefault="00365CE4" w:rsidP="00461737">
            <w:pPr>
              <w:pStyle w:val="Default"/>
              <w:jc w:val="both"/>
              <w:rPr>
                <w:rFonts w:ascii="Calibri" w:hAnsi="Calibri"/>
                <w:color w:val="auto"/>
                <w:sz w:val="20"/>
                <w:szCs w:val="20"/>
              </w:rPr>
            </w:pPr>
          </w:p>
        </w:tc>
        <w:tc>
          <w:tcPr>
            <w:tcW w:w="1806" w:type="dxa"/>
            <w:tcBorders>
              <w:bottom w:val="single" w:sz="4" w:space="0" w:color="auto"/>
            </w:tcBorders>
          </w:tcPr>
          <w:p w:rsidR="00365CE4" w:rsidRPr="00DD4B0D" w:rsidRDefault="00365CE4" w:rsidP="00461737">
            <w:pPr>
              <w:pStyle w:val="Default"/>
              <w:jc w:val="both"/>
              <w:rPr>
                <w:rFonts w:ascii="Calibri" w:hAnsi="Calibri"/>
                <w:color w:val="auto"/>
                <w:sz w:val="20"/>
                <w:szCs w:val="20"/>
              </w:rPr>
            </w:pPr>
          </w:p>
        </w:tc>
      </w:tr>
      <w:tr w:rsidR="00365CE4" w:rsidRPr="00DD4B0D" w:rsidTr="00461737">
        <w:trPr>
          <w:trHeight w:val="1860"/>
        </w:trPr>
        <w:tc>
          <w:tcPr>
            <w:tcW w:w="6647" w:type="dxa"/>
          </w:tcPr>
          <w:p w:rsidR="00365CE4" w:rsidRDefault="00365CE4" w:rsidP="00461737">
            <w:pPr>
              <w:pStyle w:val="Default"/>
              <w:jc w:val="both"/>
              <w:rPr>
                <w:rFonts w:ascii="Calibri" w:hAnsi="Calibri"/>
                <w:color w:val="auto"/>
                <w:sz w:val="20"/>
                <w:szCs w:val="20"/>
              </w:rPr>
            </w:pPr>
          </w:p>
          <w:p w:rsidR="00365CE4" w:rsidRDefault="00365CE4" w:rsidP="00461737">
            <w:pPr>
              <w:pStyle w:val="CM73"/>
              <w:spacing w:line="253" w:lineRule="atLeast"/>
              <w:jc w:val="both"/>
              <w:rPr>
                <w:rFonts w:ascii="Calibri" w:hAnsi="Calibri"/>
                <w:sz w:val="20"/>
                <w:szCs w:val="20"/>
              </w:rPr>
            </w:pPr>
            <w:r w:rsidRPr="00BC24EC">
              <w:rPr>
                <w:rFonts w:ascii="Calibri" w:hAnsi="Calibri"/>
                <w:sz w:val="20"/>
                <w:szCs w:val="20"/>
              </w:rPr>
              <w:t xml:space="preserve">If “yes” to </w:t>
            </w:r>
            <w:r w:rsidRPr="00BC24EC">
              <w:rPr>
                <w:rFonts w:ascii="Calibri" w:hAnsi="Calibri"/>
                <w:sz w:val="20"/>
                <w:szCs w:val="20"/>
                <w:u w:val="single"/>
              </w:rPr>
              <w:t>any one</w:t>
            </w:r>
            <w:r w:rsidRPr="00BC24EC">
              <w:rPr>
                <w:rFonts w:ascii="Calibri" w:hAnsi="Calibri"/>
                <w:sz w:val="20"/>
                <w:szCs w:val="20"/>
              </w:rPr>
              <w:t xml:space="preserve"> of Questions 1–7, the University has continuing involvement and the transaction must be recorded as a collateralized borrowing, not a true sale of the receivables. </w:t>
            </w:r>
          </w:p>
          <w:p w:rsidR="00365CE4" w:rsidRDefault="00365CE4" w:rsidP="00461737">
            <w:pPr>
              <w:pStyle w:val="Default"/>
            </w:pPr>
          </w:p>
          <w:p w:rsidR="00365CE4" w:rsidRDefault="00365CE4" w:rsidP="00461737">
            <w:pPr>
              <w:pStyle w:val="Default"/>
              <w:rPr>
                <w:rFonts w:ascii="Calibri" w:hAnsi="Calibri"/>
                <w:sz w:val="20"/>
                <w:szCs w:val="20"/>
              </w:rPr>
            </w:pPr>
            <w:r w:rsidRPr="00BC24EC">
              <w:rPr>
                <w:rFonts w:ascii="Calibri" w:hAnsi="Calibri"/>
                <w:sz w:val="20"/>
                <w:szCs w:val="20"/>
              </w:rPr>
              <w:t xml:space="preserve">If “no” to </w:t>
            </w:r>
            <w:r w:rsidRPr="00BC24EC">
              <w:rPr>
                <w:rFonts w:ascii="Calibri" w:hAnsi="Calibri"/>
                <w:sz w:val="20"/>
                <w:szCs w:val="20"/>
                <w:u w:val="single"/>
              </w:rPr>
              <w:t xml:space="preserve">all </w:t>
            </w:r>
            <w:r w:rsidRPr="00BC24EC">
              <w:rPr>
                <w:rFonts w:ascii="Calibri" w:hAnsi="Calibri"/>
                <w:sz w:val="20"/>
                <w:szCs w:val="20"/>
              </w:rPr>
              <w:t xml:space="preserve">of </w:t>
            </w:r>
            <w:proofErr w:type="gramStart"/>
            <w:r w:rsidRPr="00BC24EC">
              <w:rPr>
                <w:rFonts w:ascii="Calibri" w:hAnsi="Calibri"/>
                <w:sz w:val="20"/>
                <w:szCs w:val="20"/>
              </w:rPr>
              <w:t>Questions</w:t>
            </w:r>
            <w:proofErr w:type="gramEnd"/>
            <w:r w:rsidRPr="00BC24EC">
              <w:rPr>
                <w:rFonts w:ascii="Calibri" w:hAnsi="Calibri"/>
                <w:sz w:val="20"/>
                <w:szCs w:val="20"/>
              </w:rPr>
              <w:t xml:space="preserve"> 1–7, continue to assess whether the receivables are isolated from the University.  </w:t>
            </w:r>
          </w:p>
          <w:p w:rsidR="00365CE4" w:rsidRDefault="00365CE4" w:rsidP="00461737">
            <w:pPr>
              <w:pStyle w:val="Default"/>
              <w:rPr>
                <w:rFonts w:ascii="Calibri" w:hAnsi="Calibri"/>
                <w:sz w:val="20"/>
                <w:szCs w:val="20"/>
              </w:rPr>
            </w:pPr>
          </w:p>
          <w:p w:rsidR="00365CE4" w:rsidRDefault="00365CE4" w:rsidP="00461737">
            <w:pPr>
              <w:pStyle w:val="Default"/>
              <w:rPr>
                <w:rFonts w:ascii="Calibri" w:hAnsi="Calibri"/>
                <w:sz w:val="20"/>
                <w:szCs w:val="20"/>
              </w:rPr>
            </w:pPr>
            <w:r w:rsidRPr="00BC24EC">
              <w:rPr>
                <w:rFonts w:ascii="Calibri" w:hAnsi="Calibri"/>
                <w:sz w:val="20"/>
                <w:szCs w:val="20"/>
              </w:rPr>
              <w:t>Generally, banking arrangements should eliminate access by the University or its component units to the cash generated by collecting the receivables</w:t>
            </w:r>
            <w:proofErr w:type="gramStart"/>
            <w:r w:rsidRPr="00BC24EC">
              <w:rPr>
                <w:rFonts w:ascii="Calibri" w:hAnsi="Calibri"/>
                <w:sz w:val="20"/>
                <w:szCs w:val="20"/>
              </w:rPr>
              <w:t xml:space="preserve">. </w:t>
            </w:r>
            <w:proofErr w:type="gramEnd"/>
            <w:r w:rsidRPr="00BC24EC">
              <w:rPr>
                <w:rFonts w:ascii="Calibri" w:hAnsi="Calibri"/>
                <w:sz w:val="20"/>
                <w:szCs w:val="20"/>
              </w:rPr>
              <w:t>Access is eliminated when payments on individual accounts are made directly to a custodial account maintained for the benefit of the transferee.</w:t>
            </w:r>
          </w:p>
          <w:p w:rsidR="00365CE4" w:rsidRPr="00BC24EC" w:rsidRDefault="00365CE4" w:rsidP="00461737">
            <w:pPr>
              <w:pStyle w:val="Default"/>
              <w:rPr>
                <w:rFonts w:ascii="Calibri" w:hAnsi="Calibri"/>
                <w:color w:val="auto"/>
                <w:sz w:val="20"/>
                <w:szCs w:val="20"/>
              </w:rPr>
            </w:pPr>
          </w:p>
        </w:tc>
        <w:tc>
          <w:tcPr>
            <w:tcW w:w="887" w:type="dxa"/>
            <w:vMerge w:val="restart"/>
            <w:tcBorders>
              <w:top w:val="single" w:sz="4" w:space="0" w:color="auto"/>
              <w:bottom w:val="single" w:sz="4" w:space="0" w:color="auto"/>
            </w:tcBorders>
          </w:tcPr>
          <w:p w:rsidR="00365CE4" w:rsidRPr="00DD4B0D" w:rsidRDefault="00365CE4" w:rsidP="00461737">
            <w:pPr>
              <w:pStyle w:val="Default"/>
              <w:jc w:val="both"/>
              <w:rPr>
                <w:rFonts w:ascii="Calibri" w:hAnsi="Calibri"/>
                <w:color w:val="auto"/>
                <w:sz w:val="20"/>
                <w:szCs w:val="20"/>
              </w:rPr>
            </w:pPr>
          </w:p>
        </w:tc>
        <w:tc>
          <w:tcPr>
            <w:tcW w:w="236" w:type="dxa"/>
            <w:vMerge w:val="restart"/>
          </w:tcPr>
          <w:p w:rsidR="00365CE4" w:rsidRPr="00DD4B0D" w:rsidRDefault="00365CE4" w:rsidP="00461737">
            <w:pPr>
              <w:pStyle w:val="Default"/>
              <w:jc w:val="both"/>
              <w:rPr>
                <w:rFonts w:ascii="Calibri" w:hAnsi="Calibri"/>
                <w:color w:val="auto"/>
                <w:sz w:val="20"/>
                <w:szCs w:val="20"/>
              </w:rPr>
            </w:pPr>
          </w:p>
        </w:tc>
        <w:tc>
          <w:tcPr>
            <w:tcW w:w="1806" w:type="dxa"/>
            <w:vMerge w:val="restart"/>
            <w:tcBorders>
              <w:top w:val="single" w:sz="4" w:space="0" w:color="auto"/>
              <w:bottom w:val="single" w:sz="4" w:space="0" w:color="auto"/>
            </w:tcBorders>
          </w:tcPr>
          <w:p w:rsidR="00365CE4" w:rsidRPr="00DD4B0D" w:rsidRDefault="00365CE4" w:rsidP="00461737">
            <w:pPr>
              <w:pStyle w:val="Default"/>
              <w:jc w:val="both"/>
              <w:rPr>
                <w:rFonts w:ascii="Calibri" w:hAnsi="Calibri"/>
                <w:color w:val="auto"/>
                <w:sz w:val="20"/>
                <w:szCs w:val="20"/>
              </w:rPr>
            </w:pPr>
          </w:p>
        </w:tc>
      </w:tr>
      <w:tr w:rsidR="00365CE4" w:rsidRPr="00DD4B0D" w:rsidTr="00461737">
        <w:trPr>
          <w:trHeight w:val="70"/>
        </w:trPr>
        <w:tc>
          <w:tcPr>
            <w:tcW w:w="6647" w:type="dxa"/>
          </w:tcPr>
          <w:p w:rsidR="00365CE4" w:rsidRDefault="00365CE4" w:rsidP="00461737">
            <w:pPr>
              <w:pStyle w:val="Default"/>
              <w:jc w:val="both"/>
              <w:rPr>
                <w:rFonts w:ascii="Calibri" w:hAnsi="Calibri"/>
                <w:color w:val="auto"/>
                <w:sz w:val="20"/>
                <w:szCs w:val="20"/>
              </w:rPr>
            </w:pPr>
            <w:r>
              <w:rPr>
                <w:rFonts w:ascii="Calibri" w:hAnsi="Calibri"/>
                <w:sz w:val="20"/>
                <w:szCs w:val="20"/>
              </w:rPr>
              <w:t xml:space="preserve">8. </w:t>
            </w:r>
            <w:r w:rsidRPr="00BC24EC">
              <w:rPr>
                <w:rFonts w:ascii="Calibri" w:hAnsi="Calibri"/>
                <w:sz w:val="20"/>
                <w:szCs w:val="20"/>
              </w:rPr>
              <w:t>Are payments on individual accounts made through the University (and, presumably, then remitted to the transferee), as opposed to payments on individual accounts made directly to a custodial account maintained for the benefit of the transferee</w:t>
            </w:r>
            <w:proofErr w:type="gramStart"/>
            <w:r w:rsidRPr="00BC24EC">
              <w:rPr>
                <w:rFonts w:ascii="Calibri" w:hAnsi="Calibri"/>
                <w:sz w:val="20"/>
                <w:szCs w:val="20"/>
              </w:rPr>
              <w:t xml:space="preserve">? </w:t>
            </w:r>
            <w:proofErr w:type="gramEnd"/>
            <w:r w:rsidRPr="00BC24EC">
              <w:rPr>
                <w:rFonts w:ascii="Calibri" w:hAnsi="Calibri"/>
                <w:sz w:val="20"/>
                <w:szCs w:val="20"/>
              </w:rPr>
              <w:t>(¶7b)</w:t>
            </w:r>
          </w:p>
        </w:tc>
        <w:tc>
          <w:tcPr>
            <w:tcW w:w="887" w:type="dxa"/>
            <w:vMerge/>
            <w:tcBorders>
              <w:top w:val="single" w:sz="4" w:space="0" w:color="auto"/>
              <w:bottom w:val="single" w:sz="4" w:space="0" w:color="auto"/>
            </w:tcBorders>
          </w:tcPr>
          <w:p w:rsidR="00365CE4" w:rsidRPr="00DD4B0D" w:rsidRDefault="00365CE4" w:rsidP="00461737">
            <w:pPr>
              <w:pStyle w:val="Default"/>
              <w:jc w:val="both"/>
              <w:rPr>
                <w:rFonts w:ascii="Calibri" w:hAnsi="Calibri"/>
                <w:color w:val="auto"/>
                <w:sz w:val="20"/>
                <w:szCs w:val="20"/>
              </w:rPr>
            </w:pPr>
          </w:p>
        </w:tc>
        <w:tc>
          <w:tcPr>
            <w:tcW w:w="236" w:type="dxa"/>
            <w:vMerge/>
          </w:tcPr>
          <w:p w:rsidR="00365CE4" w:rsidRPr="00DD4B0D" w:rsidRDefault="00365CE4" w:rsidP="00461737">
            <w:pPr>
              <w:pStyle w:val="Default"/>
              <w:jc w:val="both"/>
              <w:rPr>
                <w:rFonts w:ascii="Calibri" w:hAnsi="Calibri"/>
                <w:color w:val="auto"/>
                <w:sz w:val="20"/>
                <w:szCs w:val="20"/>
              </w:rPr>
            </w:pPr>
          </w:p>
        </w:tc>
        <w:tc>
          <w:tcPr>
            <w:tcW w:w="1806" w:type="dxa"/>
            <w:vMerge/>
            <w:tcBorders>
              <w:bottom w:val="single" w:sz="4" w:space="0" w:color="auto"/>
            </w:tcBorders>
          </w:tcPr>
          <w:p w:rsidR="00365CE4" w:rsidRPr="00DD4B0D" w:rsidRDefault="00365CE4" w:rsidP="00461737">
            <w:pPr>
              <w:pStyle w:val="Default"/>
              <w:jc w:val="both"/>
              <w:rPr>
                <w:rFonts w:ascii="Calibri" w:hAnsi="Calibri"/>
                <w:color w:val="auto"/>
                <w:sz w:val="20"/>
                <w:szCs w:val="20"/>
              </w:rPr>
            </w:pPr>
          </w:p>
        </w:tc>
      </w:tr>
      <w:tr w:rsidR="00365CE4" w:rsidRPr="00DD4B0D" w:rsidTr="00461737">
        <w:tc>
          <w:tcPr>
            <w:tcW w:w="6647" w:type="dxa"/>
          </w:tcPr>
          <w:p w:rsidR="00365CE4" w:rsidRDefault="00365CE4" w:rsidP="00461737">
            <w:pPr>
              <w:pStyle w:val="CM73"/>
              <w:spacing w:line="251" w:lineRule="atLeast"/>
              <w:jc w:val="both"/>
              <w:rPr>
                <w:rFonts w:ascii="Calibri" w:hAnsi="Calibri"/>
                <w:sz w:val="20"/>
                <w:szCs w:val="20"/>
              </w:rPr>
            </w:pPr>
          </w:p>
        </w:tc>
        <w:tc>
          <w:tcPr>
            <w:tcW w:w="887" w:type="dxa"/>
            <w:tcBorders>
              <w:top w:val="single" w:sz="4" w:space="0" w:color="auto"/>
            </w:tcBorders>
          </w:tcPr>
          <w:p w:rsidR="00365CE4" w:rsidRPr="00DD4B0D" w:rsidRDefault="00365CE4" w:rsidP="00461737">
            <w:pPr>
              <w:pStyle w:val="Default"/>
              <w:jc w:val="both"/>
              <w:rPr>
                <w:rFonts w:ascii="Calibri" w:hAnsi="Calibri"/>
                <w:color w:val="auto"/>
                <w:sz w:val="20"/>
                <w:szCs w:val="20"/>
              </w:rPr>
            </w:pPr>
          </w:p>
        </w:tc>
        <w:tc>
          <w:tcPr>
            <w:tcW w:w="236" w:type="dxa"/>
          </w:tcPr>
          <w:p w:rsidR="00365CE4" w:rsidRPr="00DD4B0D" w:rsidRDefault="00365CE4" w:rsidP="00461737">
            <w:pPr>
              <w:pStyle w:val="Default"/>
              <w:jc w:val="both"/>
              <w:rPr>
                <w:rFonts w:ascii="Calibri" w:hAnsi="Calibri"/>
                <w:color w:val="auto"/>
                <w:sz w:val="20"/>
                <w:szCs w:val="20"/>
              </w:rPr>
            </w:pPr>
          </w:p>
        </w:tc>
        <w:tc>
          <w:tcPr>
            <w:tcW w:w="1806" w:type="dxa"/>
            <w:tcBorders>
              <w:top w:val="single" w:sz="4" w:space="0" w:color="auto"/>
            </w:tcBorders>
          </w:tcPr>
          <w:p w:rsidR="00365CE4" w:rsidRPr="00DD4B0D" w:rsidRDefault="00365CE4" w:rsidP="00461737">
            <w:pPr>
              <w:pStyle w:val="Default"/>
              <w:jc w:val="both"/>
              <w:rPr>
                <w:rFonts w:ascii="Calibri" w:hAnsi="Calibri"/>
                <w:color w:val="auto"/>
                <w:sz w:val="20"/>
                <w:szCs w:val="20"/>
              </w:rPr>
            </w:pPr>
          </w:p>
        </w:tc>
      </w:tr>
      <w:tr w:rsidR="00365CE4" w:rsidRPr="00DD4B0D" w:rsidTr="00461737">
        <w:tc>
          <w:tcPr>
            <w:tcW w:w="6647" w:type="dxa"/>
          </w:tcPr>
          <w:p w:rsidR="00365CE4" w:rsidRPr="00BC24EC" w:rsidRDefault="00365CE4" w:rsidP="00461737">
            <w:pPr>
              <w:pStyle w:val="CM73"/>
              <w:spacing w:line="253" w:lineRule="atLeast"/>
              <w:jc w:val="both"/>
              <w:rPr>
                <w:rFonts w:ascii="Calibri" w:hAnsi="Calibri"/>
                <w:sz w:val="20"/>
                <w:szCs w:val="20"/>
              </w:rPr>
            </w:pPr>
            <w:r w:rsidRPr="00BC24EC">
              <w:rPr>
                <w:rFonts w:ascii="Calibri" w:hAnsi="Calibri"/>
                <w:sz w:val="20"/>
                <w:szCs w:val="20"/>
              </w:rPr>
              <w:t xml:space="preserve">If the answer to </w:t>
            </w:r>
            <w:r w:rsidRPr="00BC24EC">
              <w:rPr>
                <w:rFonts w:ascii="Calibri" w:hAnsi="Calibri"/>
                <w:sz w:val="20"/>
                <w:szCs w:val="20"/>
                <w:u w:val="single"/>
              </w:rPr>
              <w:t>all</w:t>
            </w:r>
            <w:r w:rsidRPr="00BC24EC">
              <w:rPr>
                <w:rFonts w:ascii="Calibri" w:hAnsi="Calibri"/>
                <w:sz w:val="20"/>
                <w:szCs w:val="20"/>
              </w:rPr>
              <w:t xml:space="preserve"> of Questions 1–7 and Question 8 is “no,” then the transaction must be reported as a true sale of receivables and not a collateralized borrowing. </w:t>
            </w:r>
          </w:p>
          <w:p w:rsidR="00365CE4" w:rsidRPr="00BC24EC" w:rsidRDefault="00365CE4" w:rsidP="00461737">
            <w:pPr>
              <w:pStyle w:val="Default"/>
              <w:jc w:val="both"/>
              <w:rPr>
                <w:rFonts w:ascii="Calibri" w:hAnsi="Calibri"/>
                <w:color w:val="auto"/>
                <w:sz w:val="20"/>
                <w:szCs w:val="20"/>
              </w:rPr>
            </w:pPr>
          </w:p>
          <w:p w:rsidR="00365CE4" w:rsidRDefault="00365CE4" w:rsidP="00461737">
            <w:pPr>
              <w:pStyle w:val="CM73"/>
              <w:spacing w:line="253" w:lineRule="atLeast"/>
              <w:jc w:val="both"/>
              <w:rPr>
                <w:rFonts w:ascii="Calibri" w:hAnsi="Calibri"/>
                <w:sz w:val="20"/>
                <w:szCs w:val="20"/>
              </w:rPr>
            </w:pPr>
            <w:r w:rsidRPr="00BC24EC">
              <w:rPr>
                <w:rFonts w:ascii="Calibri" w:hAnsi="Calibri"/>
                <w:sz w:val="20"/>
                <w:szCs w:val="20"/>
              </w:rPr>
              <w:t>If the answer to Question 8 is “yes” it tentatively leads to a presumption of a collateralized borrowing that may be mitigated by “no” answers to the following questions</w:t>
            </w:r>
            <w:proofErr w:type="gramStart"/>
            <w:r w:rsidRPr="00BC24EC">
              <w:rPr>
                <w:rFonts w:ascii="Calibri" w:hAnsi="Calibri"/>
                <w:sz w:val="20"/>
                <w:szCs w:val="20"/>
              </w:rPr>
              <w:t xml:space="preserve">. </w:t>
            </w:r>
            <w:proofErr w:type="gramEnd"/>
            <w:r w:rsidRPr="00BC24EC">
              <w:rPr>
                <w:rFonts w:ascii="Calibri" w:hAnsi="Calibri"/>
                <w:sz w:val="20"/>
                <w:szCs w:val="20"/>
              </w:rPr>
              <w:t>It may be that the University continues to service the accounts, or obligors may misdirect their payments to the University rather than the transferee</w:t>
            </w:r>
            <w:proofErr w:type="gramStart"/>
            <w:r w:rsidRPr="00BC24EC">
              <w:rPr>
                <w:rFonts w:ascii="Calibri" w:hAnsi="Calibri"/>
                <w:sz w:val="20"/>
                <w:szCs w:val="20"/>
              </w:rPr>
              <w:t xml:space="preserve">. </w:t>
            </w:r>
            <w:proofErr w:type="gramEnd"/>
            <w:r w:rsidRPr="00BC24EC">
              <w:rPr>
                <w:rFonts w:ascii="Calibri" w:hAnsi="Calibri"/>
                <w:sz w:val="20"/>
                <w:szCs w:val="20"/>
              </w:rPr>
              <w:t xml:space="preserve">In this circumstance, access to the cash generated by collecting the receivables is deemed to be eliminated if </w:t>
            </w:r>
            <w:r w:rsidRPr="00BC24EC">
              <w:rPr>
                <w:rFonts w:ascii="Calibri" w:hAnsi="Calibri"/>
                <w:sz w:val="20"/>
                <w:szCs w:val="20"/>
                <w:u w:val="single"/>
              </w:rPr>
              <w:t>all</w:t>
            </w:r>
            <w:r w:rsidRPr="00BC24EC">
              <w:rPr>
                <w:rFonts w:ascii="Calibri" w:hAnsi="Calibri"/>
                <w:sz w:val="20"/>
                <w:szCs w:val="20"/>
              </w:rPr>
              <w:t xml:space="preserve"> of the answers to the following questions are “no.” </w:t>
            </w:r>
          </w:p>
          <w:p w:rsidR="00365CE4" w:rsidRDefault="00365CE4" w:rsidP="00461737">
            <w:pPr>
              <w:pStyle w:val="Default"/>
            </w:pPr>
          </w:p>
          <w:p w:rsidR="00365CE4" w:rsidRPr="0067752A" w:rsidRDefault="00365CE4" w:rsidP="00461737">
            <w:pPr>
              <w:pStyle w:val="Default"/>
            </w:pPr>
          </w:p>
          <w:p w:rsidR="00365CE4" w:rsidRPr="0067752A" w:rsidRDefault="00365CE4" w:rsidP="00461737">
            <w:pPr>
              <w:pStyle w:val="Default"/>
            </w:pPr>
          </w:p>
        </w:tc>
        <w:tc>
          <w:tcPr>
            <w:tcW w:w="887" w:type="dxa"/>
          </w:tcPr>
          <w:p w:rsidR="00365CE4" w:rsidRPr="00DD4B0D" w:rsidRDefault="00365CE4" w:rsidP="00461737">
            <w:pPr>
              <w:pStyle w:val="Default"/>
              <w:jc w:val="both"/>
              <w:rPr>
                <w:rFonts w:ascii="Calibri" w:hAnsi="Calibri"/>
                <w:color w:val="auto"/>
                <w:sz w:val="20"/>
                <w:szCs w:val="20"/>
              </w:rPr>
            </w:pPr>
          </w:p>
        </w:tc>
        <w:tc>
          <w:tcPr>
            <w:tcW w:w="236" w:type="dxa"/>
          </w:tcPr>
          <w:p w:rsidR="00365CE4" w:rsidRPr="00DD4B0D" w:rsidRDefault="00365CE4" w:rsidP="00461737">
            <w:pPr>
              <w:pStyle w:val="Default"/>
              <w:jc w:val="both"/>
              <w:rPr>
                <w:rFonts w:ascii="Calibri" w:hAnsi="Calibri"/>
                <w:color w:val="auto"/>
                <w:sz w:val="20"/>
                <w:szCs w:val="20"/>
              </w:rPr>
            </w:pPr>
          </w:p>
        </w:tc>
        <w:tc>
          <w:tcPr>
            <w:tcW w:w="1806" w:type="dxa"/>
          </w:tcPr>
          <w:p w:rsidR="00365CE4" w:rsidRPr="00DD4B0D" w:rsidRDefault="00365CE4" w:rsidP="00461737">
            <w:pPr>
              <w:pStyle w:val="Default"/>
              <w:jc w:val="both"/>
              <w:rPr>
                <w:rFonts w:ascii="Calibri" w:hAnsi="Calibri"/>
                <w:color w:val="auto"/>
                <w:sz w:val="20"/>
                <w:szCs w:val="20"/>
              </w:rPr>
            </w:pPr>
          </w:p>
        </w:tc>
      </w:tr>
      <w:tr w:rsidR="00365CE4" w:rsidRPr="00DD4B0D" w:rsidTr="00461737">
        <w:tc>
          <w:tcPr>
            <w:tcW w:w="6647" w:type="dxa"/>
          </w:tcPr>
          <w:p w:rsidR="00365CE4" w:rsidRPr="0067752A" w:rsidRDefault="00365CE4" w:rsidP="00461737">
            <w:pPr>
              <w:pStyle w:val="CM85"/>
              <w:spacing w:line="251" w:lineRule="atLeast"/>
              <w:jc w:val="both"/>
            </w:pPr>
            <w:r>
              <w:rPr>
                <w:rFonts w:ascii="Calibri" w:hAnsi="Calibri"/>
                <w:sz w:val="20"/>
                <w:szCs w:val="20"/>
              </w:rPr>
              <w:lastRenderedPageBreak/>
              <w:t xml:space="preserve">9. </w:t>
            </w:r>
            <w:r w:rsidRPr="00BC24EC">
              <w:rPr>
                <w:rFonts w:ascii="Calibri" w:hAnsi="Calibri"/>
                <w:sz w:val="20"/>
                <w:szCs w:val="20"/>
              </w:rPr>
              <w:t>Does the University have an obligation to advance amounts to the transferee before it collects equivalent amounts from the underlying individual accounts</w:t>
            </w:r>
            <w:proofErr w:type="gramStart"/>
            <w:r w:rsidRPr="00BC24EC">
              <w:rPr>
                <w:rFonts w:ascii="Calibri" w:hAnsi="Calibri"/>
                <w:sz w:val="20"/>
                <w:szCs w:val="20"/>
              </w:rPr>
              <w:t xml:space="preserve">? </w:t>
            </w:r>
            <w:proofErr w:type="gramEnd"/>
            <w:r w:rsidRPr="00BC24EC">
              <w:rPr>
                <w:rFonts w:ascii="Calibri" w:hAnsi="Calibri"/>
                <w:i/>
                <w:iCs/>
                <w:sz w:val="20"/>
                <w:szCs w:val="20"/>
              </w:rPr>
              <w:t>Note:</w:t>
            </w:r>
            <w:r w:rsidRPr="00BC24EC">
              <w:rPr>
                <w:rFonts w:ascii="Calibri" w:hAnsi="Calibri"/>
                <w:sz w:val="20"/>
                <w:szCs w:val="20"/>
              </w:rPr>
              <w:t xml:space="preserve"> The payments to the transferee should be made only from the resources generated by the specific receivables rather than from the University’s own resources</w:t>
            </w:r>
            <w:proofErr w:type="gramStart"/>
            <w:r w:rsidRPr="00BC24EC">
              <w:rPr>
                <w:rFonts w:ascii="Calibri" w:hAnsi="Calibri"/>
                <w:sz w:val="20"/>
                <w:szCs w:val="20"/>
              </w:rPr>
              <w:t xml:space="preserve">. </w:t>
            </w:r>
            <w:proofErr w:type="gramEnd"/>
            <w:r w:rsidRPr="00BC24EC">
              <w:rPr>
                <w:rFonts w:ascii="Calibri" w:hAnsi="Calibri"/>
                <w:sz w:val="20"/>
                <w:szCs w:val="20"/>
              </w:rPr>
              <w:t xml:space="preserve">(¶7b(1)) </w:t>
            </w:r>
          </w:p>
        </w:tc>
        <w:tc>
          <w:tcPr>
            <w:tcW w:w="887" w:type="dxa"/>
            <w:tcBorders>
              <w:bottom w:val="single" w:sz="4" w:space="0" w:color="auto"/>
            </w:tcBorders>
          </w:tcPr>
          <w:p w:rsidR="00365CE4" w:rsidRPr="00DD4B0D" w:rsidRDefault="00365CE4" w:rsidP="00461737">
            <w:pPr>
              <w:pStyle w:val="Default"/>
              <w:jc w:val="both"/>
              <w:rPr>
                <w:rFonts w:ascii="Calibri" w:hAnsi="Calibri"/>
                <w:color w:val="auto"/>
                <w:sz w:val="20"/>
                <w:szCs w:val="20"/>
              </w:rPr>
            </w:pPr>
          </w:p>
        </w:tc>
        <w:tc>
          <w:tcPr>
            <w:tcW w:w="236" w:type="dxa"/>
          </w:tcPr>
          <w:p w:rsidR="00365CE4" w:rsidRPr="00DD4B0D" w:rsidRDefault="00365CE4" w:rsidP="00461737">
            <w:pPr>
              <w:pStyle w:val="Default"/>
              <w:jc w:val="both"/>
              <w:rPr>
                <w:rFonts w:ascii="Calibri" w:hAnsi="Calibri"/>
                <w:color w:val="auto"/>
                <w:sz w:val="20"/>
                <w:szCs w:val="20"/>
              </w:rPr>
            </w:pPr>
          </w:p>
        </w:tc>
        <w:tc>
          <w:tcPr>
            <w:tcW w:w="1806" w:type="dxa"/>
            <w:tcBorders>
              <w:bottom w:val="single" w:sz="4" w:space="0" w:color="auto"/>
            </w:tcBorders>
          </w:tcPr>
          <w:p w:rsidR="00365CE4" w:rsidRPr="00DD4B0D" w:rsidRDefault="00365CE4" w:rsidP="00461737">
            <w:pPr>
              <w:pStyle w:val="Default"/>
              <w:jc w:val="both"/>
              <w:rPr>
                <w:rFonts w:ascii="Calibri" w:hAnsi="Calibri"/>
                <w:color w:val="auto"/>
                <w:sz w:val="20"/>
                <w:szCs w:val="20"/>
              </w:rPr>
            </w:pPr>
          </w:p>
        </w:tc>
      </w:tr>
      <w:tr w:rsidR="00365CE4" w:rsidRPr="00DD4B0D" w:rsidTr="00461737">
        <w:tc>
          <w:tcPr>
            <w:tcW w:w="6647" w:type="dxa"/>
          </w:tcPr>
          <w:p w:rsidR="00365CE4" w:rsidRDefault="00365CE4" w:rsidP="00461737">
            <w:pPr>
              <w:pStyle w:val="Default"/>
              <w:jc w:val="both"/>
              <w:rPr>
                <w:rFonts w:ascii="Calibri" w:hAnsi="Calibri"/>
                <w:color w:val="auto"/>
                <w:sz w:val="20"/>
                <w:szCs w:val="20"/>
              </w:rPr>
            </w:pPr>
          </w:p>
          <w:p w:rsidR="00365CE4" w:rsidRPr="00BC24EC" w:rsidRDefault="00365CE4" w:rsidP="00461737">
            <w:pPr>
              <w:pStyle w:val="Default"/>
              <w:jc w:val="both"/>
              <w:rPr>
                <w:rFonts w:ascii="Calibri" w:hAnsi="Calibri"/>
                <w:color w:val="auto"/>
                <w:sz w:val="20"/>
                <w:szCs w:val="20"/>
              </w:rPr>
            </w:pPr>
            <w:r w:rsidRPr="00BC24EC">
              <w:rPr>
                <w:rFonts w:ascii="Calibri" w:hAnsi="Calibri"/>
                <w:color w:val="auto"/>
                <w:sz w:val="20"/>
                <w:szCs w:val="20"/>
              </w:rPr>
              <w:t>10. Is the cash collected by the University on behalf of the transferee remitted to the transferee after significant delay</w:t>
            </w:r>
            <w:proofErr w:type="gramStart"/>
            <w:r w:rsidRPr="00BC24EC">
              <w:rPr>
                <w:rFonts w:ascii="Calibri" w:hAnsi="Calibri"/>
                <w:color w:val="auto"/>
                <w:sz w:val="20"/>
                <w:szCs w:val="20"/>
              </w:rPr>
              <w:t xml:space="preserve">? </w:t>
            </w:r>
            <w:proofErr w:type="gramEnd"/>
            <w:r w:rsidRPr="00BC24EC">
              <w:rPr>
                <w:rFonts w:ascii="Calibri" w:hAnsi="Calibri"/>
                <w:color w:val="auto"/>
                <w:sz w:val="20"/>
                <w:szCs w:val="20"/>
              </w:rPr>
              <w:t xml:space="preserve">(¶7b(2)) </w:t>
            </w:r>
          </w:p>
        </w:tc>
        <w:tc>
          <w:tcPr>
            <w:tcW w:w="887" w:type="dxa"/>
            <w:tcBorders>
              <w:top w:val="single" w:sz="4" w:space="0" w:color="auto"/>
              <w:bottom w:val="single" w:sz="4" w:space="0" w:color="auto"/>
            </w:tcBorders>
          </w:tcPr>
          <w:p w:rsidR="00365CE4" w:rsidRPr="00DD4B0D" w:rsidRDefault="00365CE4" w:rsidP="00461737">
            <w:pPr>
              <w:pStyle w:val="Default"/>
              <w:jc w:val="both"/>
              <w:rPr>
                <w:rFonts w:ascii="Calibri" w:hAnsi="Calibri"/>
                <w:color w:val="auto"/>
                <w:sz w:val="20"/>
                <w:szCs w:val="20"/>
              </w:rPr>
            </w:pPr>
          </w:p>
        </w:tc>
        <w:tc>
          <w:tcPr>
            <w:tcW w:w="236" w:type="dxa"/>
          </w:tcPr>
          <w:p w:rsidR="00365CE4" w:rsidRPr="00DD4B0D" w:rsidRDefault="00365CE4" w:rsidP="00461737">
            <w:pPr>
              <w:pStyle w:val="Default"/>
              <w:jc w:val="both"/>
              <w:rPr>
                <w:rFonts w:ascii="Calibri" w:hAnsi="Calibri"/>
                <w:color w:val="auto"/>
                <w:sz w:val="20"/>
                <w:szCs w:val="20"/>
              </w:rPr>
            </w:pPr>
          </w:p>
        </w:tc>
        <w:tc>
          <w:tcPr>
            <w:tcW w:w="1806" w:type="dxa"/>
            <w:tcBorders>
              <w:top w:val="single" w:sz="4" w:space="0" w:color="auto"/>
              <w:bottom w:val="single" w:sz="4" w:space="0" w:color="auto"/>
            </w:tcBorders>
          </w:tcPr>
          <w:p w:rsidR="00365CE4" w:rsidRPr="00DD4B0D" w:rsidRDefault="00365CE4" w:rsidP="00461737">
            <w:pPr>
              <w:pStyle w:val="Default"/>
              <w:jc w:val="both"/>
              <w:rPr>
                <w:rFonts w:ascii="Calibri" w:hAnsi="Calibri"/>
                <w:color w:val="auto"/>
                <w:sz w:val="20"/>
                <w:szCs w:val="20"/>
              </w:rPr>
            </w:pPr>
          </w:p>
        </w:tc>
      </w:tr>
      <w:tr w:rsidR="00365CE4" w:rsidRPr="00DD4B0D" w:rsidTr="00461737">
        <w:tc>
          <w:tcPr>
            <w:tcW w:w="6647" w:type="dxa"/>
          </w:tcPr>
          <w:p w:rsidR="00365CE4" w:rsidRDefault="00365CE4" w:rsidP="00461737">
            <w:pPr>
              <w:pStyle w:val="Default"/>
              <w:jc w:val="both"/>
              <w:rPr>
                <w:rFonts w:ascii="Calibri" w:hAnsi="Calibri"/>
                <w:color w:val="auto"/>
                <w:sz w:val="20"/>
                <w:szCs w:val="20"/>
              </w:rPr>
            </w:pPr>
          </w:p>
          <w:p w:rsidR="00365CE4" w:rsidRPr="00BC24EC" w:rsidRDefault="00365CE4" w:rsidP="00461737">
            <w:pPr>
              <w:pStyle w:val="Default"/>
              <w:jc w:val="both"/>
              <w:rPr>
                <w:rFonts w:ascii="Calibri" w:hAnsi="Calibri"/>
                <w:color w:val="auto"/>
                <w:sz w:val="20"/>
                <w:szCs w:val="20"/>
              </w:rPr>
            </w:pPr>
            <w:r w:rsidRPr="00BC24EC">
              <w:rPr>
                <w:rFonts w:ascii="Calibri" w:hAnsi="Calibri"/>
                <w:color w:val="auto"/>
                <w:sz w:val="20"/>
                <w:szCs w:val="20"/>
              </w:rPr>
              <w:t>11. Are earnings on invested collections held by the University instead of passed on to the transferee</w:t>
            </w:r>
            <w:proofErr w:type="gramStart"/>
            <w:r w:rsidRPr="00BC24EC">
              <w:rPr>
                <w:rFonts w:ascii="Calibri" w:hAnsi="Calibri"/>
                <w:color w:val="auto"/>
                <w:sz w:val="20"/>
                <w:szCs w:val="20"/>
              </w:rPr>
              <w:t xml:space="preserve">? </w:t>
            </w:r>
            <w:proofErr w:type="gramEnd"/>
            <w:r w:rsidRPr="00BC24EC">
              <w:rPr>
                <w:rFonts w:ascii="Calibri" w:hAnsi="Calibri"/>
                <w:color w:val="auto"/>
                <w:sz w:val="20"/>
                <w:szCs w:val="20"/>
              </w:rPr>
              <w:t xml:space="preserve">(¶7b(2)) </w:t>
            </w:r>
          </w:p>
        </w:tc>
        <w:tc>
          <w:tcPr>
            <w:tcW w:w="887" w:type="dxa"/>
            <w:tcBorders>
              <w:top w:val="single" w:sz="4" w:space="0" w:color="auto"/>
              <w:bottom w:val="single" w:sz="4" w:space="0" w:color="auto"/>
            </w:tcBorders>
          </w:tcPr>
          <w:p w:rsidR="00365CE4" w:rsidRPr="00DD4B0D" w:rsidRDefault="00365CE4" w:rsidP="00461737">
            <w:pPr>
              <w:pStyle w:val="Default"/>
              <w:jc w:val="both"/>
              <w:rPr>
                <w:rFonts w:ascii="Calibri" w:hAnsi="Calibri"/>
                <w:color w:val="auto"/>
                <w:sz w:val="20"/>
                <w:szCs w:val="20"/>
              </w:rPr>
            </w:pPr>
          </w:p>
        </w:tc>
        <w:tc>
          <w:tcPr>
            <w:tcW w:w="236" w:type="dxa"/>
          </w:tcPr>
          <w:p w:rsidR="00365CE4" w:rsidRPr="00DD4B0D" w:rsidRDefault="00365CE4" w:rsidP="00461737">
            <w:pPr>
              <w:pStyle w:val="Default"/>
              <w:jc w:val="both"/>
              <w:rPr>
                <w:rFonts w:ascii="Calibri" w:hAnsi="Calibri"/>
                <w:color w:val="auto"/>
                <w:sz w:val="20"/>
                <w:szCs w:val="20"/>
              </w:rPr>
            </w:pPr>
          </w:p>
        </w:tc>
        <w:tc>
          <w:tcPr>
            <w:tcW w:w="1806" w:type="dxa"/>
            <w:tcBorders>
              <w:top w:val="single" w:sz="4" w:space="0" w:color="auto"/>
              <w:bottom w:val="single" w:sz="4" w:space="0" w:color="auto"/>
            </w:tcBorders>
          </w:tcPr>
          <w:p w:rsidR="00365CE4" w:rsidRPr="00DD4B0D" w:rsidRDefault="00365CE4" w:rsidP="00461737">
            <w:pPr>
              <w:pStyle w:val="Default"/>
              <w:jc w:val="both"/>
              <w:rPr>
                <w:rFonts w:ascii="Calibri" w:hAnsi="Calibri"/>
                <w:color w:val="auto"/>
                <w:sz w:val="20"/>
                <w:szCs w:val="20"/>
              </w:rPr>
            </w:pPr>
          </w:p>
        </w:tc>
      </w:tr>
      <w:tr w:rsidR="00365CE4" w:rsidRPr="00DD4B0D" w:rsidTr="00461737">
        <w:tc>
          <w:tcPr>
            <w:tcW w:w="6647" w:type="dxa"/>
          </w:tcPr>
          <w:p w:rsidR="00365CE4" w:rsidRDefault="00365CE4" w:rsidP="00461737">
            <w:pPr>
              <w:pStyle w:val="Default"/>
              <w:jc w:val="both"/>
              <w:rPr>
                <w:rFonts w:ascii="Calibri" w:hAnsi="Calibri"/>
                <w:color w:val="auto"/>
                <w:sz w:val="20"/>
                <w:szCs w:val="20"/>
              </w:rPr>
            </w:pPr>
          </w:p>
          <w:p w:rsidR="00365CE4" w:rsidRDefault="00365CE4" w:rsidP="00461737">
            <w:pPr>
              <w:pStyle w:val="Default"/>
              <w:jc w:val="both"/>
              <w:rPr>
                <w:rFonts w:ascii="Calibri" w:hAnsi="Calibri"/>
                <w:color w:val="auto"/>
                <w:sz w:val="20"/>
                <w:szCs w:val="20"/>
              </w:rPr>
            </w:pPr>
            <w:r w:rsidRPr="00BC24EC">
              <w:rPr>
                <w:rFonts w:ascii="Calibri" w:hAnsi="Calibri"/>
                <w:color w:val="auto"/>
                <w:sz w:val="20"/>
                <w:szCs w:val="20"/>
              </w:rPr>
              <w:t>12. Do the University’s general ledger and accounts receivable sub-ledger fail to consider sale proceeds from the transferee as satisfaction of individual accounts</w:t>
            </w:r>
            <w:proofErr w:type="gramStart"/>
            <w:r w:rsidRPr="00BC24EC">
              <w:rPr>
                <w:rFonts w:ascii="Calibri" w:hAnsi="Calibri"/>
                <w:color w:val="auto"/>
                <w:sz w:val="20"/>
                <w:szCs w:val="20"/>
              </w:rPr>
              <w:t xml:space="preserve">? </w:t>
            </w:r>
            <w:proofErr w:type="gramEnd"/>
            <w:r w:rsidRPr="00BC24EC">
              <w:rPr>
                <w:rFonts w:ascii="Calibri" w:hAnsi="Calibri"/>
                <w:color w:val="auto"/>
                <w:sz w:val="20"/>
                <w:szCs w:val="20"/>
              </w:rPr>
              <w:t xml:space="preserve">(¶7b(3)) </w:t>
            </w:r>
          </w:p>
          <w:p w:rsidR="00365CE4" w:rsidRPr="00BC24EC" w:rsidRDefault="00365CE4" w:rsidP="00461737">
            <w:pPr>
              <w:pStyle w:val="Default"/>
              <w:jc w:val="both"/>
              <w:rPr>
                <w:rFonts w:ascii="Calibri" w:hAnsi="Calibri"/>
                <w:color w:val="auto"/>
                <w:sz w:val="20"/>
                <w:szCs w:val="20"/>
              </w:rPr>
            </w:pPr>
          </w:p>
        </w:tc>
        <w:tc>
          <w:tcPr>
            <w:tcW w:w="887" w:type="dxa"/>
            <w:tcBorders>
              <w:top w:val="single" w:sz="4" w:space="0" w:color="auto"/>
              <w:bottom w:val="single" w:sz="4" w:space="0" w:color="auto"/>
            </w:tcBorders>
          </w:tcPr>
          <w:p w:rsidR="00365CE4" w:rsidRPr="00DD4B0D" w:rsidRDefault="00365CE4" w:rsidP="00461737">
            <w:pPr>
              <w:pStyle w:val="Default"/>
              <w:jc w:val="both"/>
              <w:rPr>
                <w:rFonts w:ascii="Calibri" w:hAnsi="Calibri"/>
                <w:color w:val="auto"/>
                <w:sz w:val="20"/>
                <w:szCs w:val="20"/>
              </w:rPr>
            </w:pPr>
          </w:p>
        </w:tc>
        <w:tc>
          <w:tcPr>
            <w:tcW w:w="236" w:type="dxa"/>
          </w:tcPr>
          <w:p w:rsidR="00365CE4" w:rsidRPr="00DD4B0D" w:rsidRDefault="00365CE4" w:rsidP="00461737">
            <w:pPr>
              <w:pStyle w:val="Default"/>
              <w:jc w:val="both"/>
              <w:rPr>
                <w:rFonts w:ascii="Calibri" w:hAnsi="Calibri"/>
                <w:color w:val="auto"/>
                <w:sz w:val="20"/>
                <w:szCs w:val="20"/>
              </w:rPr>
            </w:pPr>
          </w:p>
        </w:tc>
        <w:tc>
          <w:tcPr>
            <w:tcW w:w="1806" w:type="dxa"/>
            <w:tcBorders>
              <w:top w:val="single" w:sz="4" w:space="0" w:color="auto"/>
              <w:bottom w:val="single" w:sz="4" w:space="0" w:color="auto"/>
            </w:tcBorders>
          </w:tcPr>
          <w:p w:rsidR="00365CE4" w:rsidRPr="00DD4B0D" w:rsidRDefault="00365CE4" w:rsidP="00461737">
            <w:pPr>
              <w:pStyle w:val="Default"/>
              <w:jc w:val="both"/>
              <w:rPr>
                <w:rFonts w:ascii="Calibri" w:hAnsi="Calibri"/>
                <w:color w:val="auto"/>
                <w:sz w:val="20"/>
                <w:szCs w:val="20"/>
              </w:rPr>
            </w:pPr>
          </w:p>
        </w:tc>
      </w:tr>
      <w:tr w:rsidR="00365CE4" w:rsidRPr="00DD4B0D" w:rsidTr="00461737">
        <w:tc>
          <w:tcPr>
            <w:tcW w:w="6647" w:type="dxa"/>
          </w:tcPr>
          <w:p w:rsidR="00365CE4" w:rsidRDefault="00365CE4" w:rsidP="00461737">
            <w:pPr>
              <w:pStyle w:val="Default"/>
              <w:jc w:val="both"/>
              <w:rPr>
                <w:rFonts w:ascii="Calibri" w:hAnsi="Calibri"/>
                <w:color w:val="auto"/>
                <w:sz w:val="20"/>
                <w:szCs w:val="20"/>
              </w:rPr>
            </w:pPr>
            <w:r w:rsidRPr="00BC24EC">
              <w:rPr>
                <w:rFonts w:ascii="Calibri" w:hAnsi="Calibri"/>
                <w:color w:val="auto"/>
                <w:sz w:val="20"/>
                <w:szCs w:val="20"/>
              </w:rPr>
              <w:t>13. Does the University fail to indicate in its records which accounts have been transferred and which collections pertain to those accounts</w:t>
            </w:r>
            <w:proofErr w:type="gramStart"/>
            <w:r w:rsidRPr="00BC24EC">
              <w:rPr>
                <w:rFonts w:ascii="Calibri" w:hAnsi="Calibri"/>
                <w:color w:val="auto"/>
                <w:sz w:val="20"/>
                <w:szCs w:val="20"/>
              </w:rPr>
              <w:t xml:space="preserve">? </w:t>
            </w:r>
            <w:proofErr w:type="gramEnd"/>
            <w:r w:rsidRPr="00BC24EC">
              <w:rPr>
                <w:rFonts w:ascii="Calibri" w:hAnsi="Calibri"/>
                <w:color w:val="auto"/>
                <w:sz w:val="20"/>
                <w:szCs w:val="20"/>
              </w:rPr>
              <w:t xml:space="preserve">(¶7b(3)) </w:t>
            </w:r>
          </w:p>
        </w:tc>
        <w:tc>
          <w:tcPr>
            <w:tcW w:w="887" w:type="dxa"/>
            <w:tcBorders>
              <w:top w:val="single" w:sz="4" w:space="0" w:color="auto"/>
              <w:bottom w:val="single" w:sz="4" w:space="0" w:color="auto"/>
            </w:tcBorders>
          </w:tcPr>
          <w:p w:rsidR="00365CE4" w:rsidRPr="00DD4B0D" w:rsidRDefault="00365CE4" w:rsidP="00461737">
            <w:pPr>
              <w:pStyle w:val="Default"/>
              <w:jc w:val="both"/>
              <w:rPr>
                <w:rFonts w:ascii="Calibri" w:hAnsi="Calibri"/>
                <w:color w:val="auto"/>
                <w:sz w:val="20"/>
                <w:szCs w:val="20"/>
              </w:rPr>
            </w:pPr>
          </w:p>
        </w:tc>
        <w:tc>
          <w:tcPr>
            <w:tcW w:w="236" w:type="dxa"/>
          </w:tcPr>
          <w:p w:rsidR="00365CE4" w:rsidRPr="00DD4B0D" w:rsidRDefault="00365CE4" w:rsidP="00461737">
            <w:pPr>
              <w:pStyle w:val="Default"/>
              <w:jc w:val="both"/>
              <w:rPr>
                <w:rFonts w:ascii="Calibri" w:hAnsi="Calibri"/>
                <w:color w:val="auto"/>
                <w:sz w:val="20"/>
                <w:szCs w:val="20"/>
              </w:rPr>
            </w:pPr>
          </w:p>
        </w:tc>
        <w:tc>
          <w:tcPr>
            <w:tcW w:w="1806" w:type="dxa"/>
            <w:tcBorders>
              <w:top w:val="single" w:sz="4" w:space="0" w:color="auto"/>
              <w:bottom w:val="single" w:sz="4" w:space="0" w:color="auto"/>
            </w:tcBorders>
          </w:tcPr>
          <w:p w:rsidR="00365CE4" w:rsidRPr="00DD4B0D" w:rsidRDefault="00365CE4" w:rsidP="00461737">
            <w:pPr>
              <w:pStyle w:val="Default"/>
              <w:jc w:val="both"/>
              <w:rPr>
                <w:rFonts w:ascii="Calibri" w:hAnsi="Calibri"/>
                <w:color w:val="auto"/>
                <w:sz w:val="20"/>
                <w:szCs w:val="20"/>
              </w:rPr>
            </w:pPr>
          </w:p>
        </w:tc>
      </w:tr>
      <w:tr w:rsidR="00365CE4" w:rsidRPr="00DD4B0D" w:rsidTr="00461737">
        <w:tc>
          <w:tcPr>
            <w:tcW w:w="6647" w:type="dxa"/>
          </w:tcPr>
          <w:p w:rsidR="00365CE4" w:rsidRDefault="00365CE4" w:rsidP="00461737">
            <w:pPr>
              <w:pStyle w:val="Default"/>
              <w:jc w:val="both"/>
              <w:rPr>
                <w:rFonts w:ascii="Calibri" w:hAnsi="Calibri"/>
                <w:color w:val="auto"/>
                <w:sz w:val="20"/>
                <w:szCs w:val="20"/>
              </w:rPr>
            </w:pPr>
          </w:p>
          <w:p w:rsidR="00365CE4" w:rsidRPr="00BC24EC" w:rsidRDefault="00365CE4" w:rsidP="00461737">
            <w:pPr>
              <w:pStyle w:val="CM86"/>
              <w:spacing w:line="268" w:lineRule="atLeast"/>
              <w:jc w:val="both"/>
              <w:rPr>
                <w:rFonts w:ascii="Calibri" w:hAnsi="Calibri"/>
                <w:sz w:val="20"/>
                <w:szCs w:val="20"/>
              </w:rPr>
            </w:pPr>
            <w:r w:rsidRPr="00BC24EC">
              <w:rPr>
                <w:rFonts w:ascii="Calibri" w:hAnsi="Calibri"/>
                <w:sz w:val="20"/>
                <w:szCs w:val="20"/>
              </w:rPr>
              <w:t>If the answers to Questions 1–7 and 9–13 are “no,” notwithstanding the fact that the answer to Question 8 is “yes,” then the transaction must be recorded as a true sale, not as a collateralized borrowing</w:t>
            </w:r>
            <w:proofErr w:type="gramStart"/>
            <w:r w:rsidRPr="00BC24EC">
              <w:rPr>
                <w:rFonts w:ascii="Calibri" w:hAnsi="Calibri"/>
                <w:sz w:val="20"/>
                <w:szCs w:val="20"/>
              </w:rPr>
              <w:t xml:space="preserve">. </w:t>
            </w:r>
            <w:proofErr w:type="gramEnd"/>
          </w:p>
        </w:tc>
        <w:tc>
          <w:tcPr>
            <w:tcW w:w="887" w:type="dxa"/>
            <w:tcBorders>
              <w:top w:val="single" w:sz="4" w:space="0" w:color="auto"/>
            </w:tcBorders>
          </w:tcPr>
          <w:p w:rsidR="00365CE4" w:rsidRPr="00DD4B0D" w:rsidRDefault="00365CE4" w:rsidP="00461737">
            <w:pPr>
              <w:pStyle w:val="Default"/>
              <w:jc w:val="both"/>
              <w:rPr>
                <w:rFonts w:ascii="Calibri" w:hAnsi="Calibri"/>
                <w:color w:val="auto"/>
                <w:sz w:val="20"/>
                <w:szCs w:val="20"/>
              </w:rPr>
            </w:pPr>
          </w:p>
        </w:tc>
        <w:tc>
          <w:tcPr>
            <w:tcW w:w="236" w:type="dxa"/>
          </w:tcPr>
          <w:p w:rsidR="00365CE4" w:rsidRPr="00DD4B0D" w:rsidRDefault="00365CE4" w:rsidP="00461737">
            <w:pPr>
              <w:pStyle w:val="Default"/>
              <w:jc w:val="both"/>
              <w:rPr>
                <w:rFonts w:ascii="Calibri" w:hAnsi="Calibri"/>
                <w:color w:val="auto"/>
                <w:sz w:val="20"/>
                <w:szCs w:val="20"/>
              </w:rPr>
            </w:pPr>
          </w:p>
        </w:tc>
        <w:tc>
          <w:tcPr>
            <w:tcW w:w="1806" w:type="dxa"/>
            <w:tcBorders>
              <w:top w:val="single" w:sz="4" w:space="0" w:color="auto"/>
            </w:tcBorders>
          </w:tcPr>
          <w:p w:rsidR="00365CE4" w:rsidRPr="00DD4B0D" w:rsidRDefault="00365CE4" w:rsidP="00461737">
            <w:pPr>
              <w:pStyle w:val="Default"/>
              <w:jc w:val="both"/>
              <w:rPr>
                <w:rFonts w:ascii="Calibri" w:hAnsi="Calibri"/>
                <w:color w:val="auto"/>
                <w:sz w:val="20"/>
                <w:szCs w:val="20"/>
              </w:rPr>
            </w:pPr>
          </w:p>
        </w:tc>
      </w:tr>
    </w:tbl>
    <w:p w:rsidR="00365CE4" w:rsidRDefault="00365CE4" w:rsidP="00365CE4">
      <w:pPr>
        <w:pStyle w:val="Default"/>
        <w:jc w:val="both"/>
        <w:rPr>
          <w:rFonts w:ascii="Calibri" w:hAnsi="Calibri"/>
          <w:color w:val="auto"/>
          <w:sz w:val="22"/>
          <w:szCs w:val="22"/>
        </w:rPr>
      </w:pPr>
    </w:p>
    <w:p w:rsidR="00365CE4" w:rsidRPr="00D8307F" w:rsidRDefault="00365CE4" w:rsidP="00365CE4">
      <w:pPr>
        <w:pStyle w:val="Default"/>
        <w:rPr>
          <w:rFonts w:ascii="Calibri" w:hAnsi="Calibri"/>
          <w:i/>
          <w:color w:val="auto"/>
          <w:sz w:val="22"/>
          <w:szCs w:val="22"/>
          <w:u w:val="single"/>
        </w:rPr>
      </w:pPr>
    </w:p>
    <w:p w:rsidR="00365CE4" w:rsidRDefault="00365CE4" w:rsidP="00365CE4">
      <w:pPr>
        <w:pStyle w:val="Default"/>
        <w:tabs>
          <w:tab w:val="left" w:pos="1440"/>
        </w:tabs>
        <w:rPr>
          <w:rFonts w:ascii="Calibri" w:hAnsi="Calibri"/>
          <w:b/>
          <w:color w:val="auto"/>
          <w:sz w:val="22"/>
          <w:szCs w:val="22"/>
        </w:rPr>
      </w:pPr>
      <w:r>
        <w:rPr>
          <w:rFonts w:ascii="Calibri" w:hAnsi="Calibri"/>
          <w:b/>
          <w:color w:val="auto"/>
          <w:sz w:val="22"/>
          <w:szCs w:val="22"/>
        </w:rPr>
        <w:t>Prepared by:</w:t>
      </w:r>
      <w:r>
        <w:rPr>
          <w:rFonts w:ascii="Calibri" w:hAnsi="Calibri"/>
          <w:b/>
          <w:color w:val="auto"/>
          <w:sz w:val="22"/>
          <w:szCs w:val="22"/>
        </w:rPr>
        <w:tab/>
      </w:r>
      <w:r>
        <w:rPr>
          <w:rFonts w:ascii="Calibri" w:hAnsi="Calibri"/>
          <w:b/>
          <w:color w:val="auto"/>
          <w:sz w:val="22"/>
          <w:szCs w:val="22"/>
          <w:u w:val="single"/>
        </w:rPr>
        <w:tab/>
      </w:r>
      <w:r>
        <w:rPr>
          <w:rFonts w:ascii="Calibri" w:hAnsi="Calibri"/>
          <w:b/>
          <w:color w:val="auto"/>
          <w:sz w:val="22"/>
          <w:szCs w:val="22"/>
          <w:u w:val="single"/>
        </w:rPr>
        <w:tab/>
      </w:r>
      <w:r>
        <w:rPr>
          <w:rFonts w:ascii="Calibri" w:hAnsi="Calibri"/>
          <w:b/>
          <w:color w:val="auto"/>
          <w:sz w:val="22"/>
          <w:szCs w:val="22"/>
          <w:u w:val="single"/>
        </w:rPr>
        <w:tab/>
      </w:r>
      <w:r>
        <w:rPr>
          <w:rFonts w:ascii="Calibri" w:hAnsi="Calibri"/>
          <w:b/>
          <w:color w:val="auto"/>
          <w:sz w:val="22"/>
          <w:szCs w:val="22"/>
          <w:u w:val="single"/>
        </w:rPr>
        <w:tab/>
      </w:r>
      <w:r>
        <w:rPr>
          <w:rFonts w:ascii="Calibri" w:hAnsi="Calibri"/>
          <w:b/>
          <w:color w:val="auto"/>
          <w:sz w:val="22"/>
          <w:szCs w:val="22"/>
          <w:u w:val="single"/>
        </w:rPr>
        <w:tab/>
      </w:r>
      <w:r>
        <w:rPr>
          <w:rFonts w:ascii="Calibri" w:hAnsi="Calibri"/>
          <w:b/>
          <w:color w:val="auto"/>
          <w:sz w:val="22"/>
          <w:szCs w:val="22"/>
        </w:rPr>
        <w:tab/>
      </w:r>
      <w:r>
        <w:rPr>
          <w:rFonts w:ascii="Calibri" w:hAnsi="Calibri"/>
          <w:b/>
          <w:color w:val="auto"/>
          <w:sz w:val="22"/>
          <w:szCs w:val="22"/>
        </w:rPr>
        <w:tab/>
        <w:t xml:space="preserve">Date:   </w:t>
      </w:r>
      <w:r>
        <w:rPr>
          <w:rFonts w:ascii="Calibri" w:hAnsi="Calibri"/>
          <w:b/>
          <w:color w:val="auto"/>
          <w:sz w:val="22"/>
          <w:szCs w:val="22"/>
          <w:u w:val="single"/>
        </w:rPr>
        <w:tab/>
      </w:r>
      <w:r>
        <w:rPr>
          <w:rFonts w:ascii="Calibri" w:hAnsi="Calibri"/>
          <w:b/>
          <w:color w:val="auto"/>
          <w:sz w:val="22"/>
          <w:szCs w:val="22"/>
          <w:u w:val="single"/>
        </w:rPr>
        <w:tab/>
      </w:r>
      <w:r>
        <w:rPr>
          <w:rFonts w:ascii="Calibri" w:hAnsi="Calibri"/>
          <w:b/>
          <w:color w:val="auto"/>
          <w:sz w:val="22"/>
          <w:szCs w:val="22"/>
          <w:u w:val="single"/>
        </w:rPr>
        <w:tab/>
      </w:r>
      <w:r>
        <w:rPr>
          <w:rFonts w:ascii="Calibri" w:hAnsi="Calibri"/>
          <w:b/>
          <w:color w:val="auto"/>
          <w:sz w:val="22"/>
          <w:szCs w:val="22"/>
          <w:u w:val="single"/>
        </w:rPr>
        <w:tab/>
      </w:r>
    </w:p>
    <w:p w:rsidR="00365CE4" w:rsidRDefault="00365CE4" w:rsidP="00365CE4">
      <w:pPr>
        <w:pStyle w:val="Default"/>
        <w:tabs>
          <w:tab w:val="left" w:pos="1440"/>
        </w:tabs>
        <w:rPr>
          <w:rFonts w:ascii="Calibri" w:hAnsi="Calibri"/>
          <w:b/>
          <w:color w:val="auto"/>
          <w:sz w:val="22"/>
          <w:szCs w:val="22"/>
        </w:rPr>
      </w:pPr>
    </w:p>
    <w:p w:rsidR="00365CE4" w:rsidRPr="00BC24EC" w:rsidRDefault="00365CE4" w:rsidP="00365CE4">
      <w:pPr>
        <w:pStyle w:val="Default"/>
        <w:tabs>
          <w:tab w:val="left" w:pos="1440"/>
        </w:tabs>
        <w:rPr>
          <w:rFonts w:ascii="Calibri" w:hAnsi="Calibri"/>
          <w:b/>
          <w:color w:val="auto"/>
          <w:sz w:val="22"/>
          <w:szCs w:val="22"/>
        </w:rPr>
      </w:pPr>
    </w:p>
    <w:p w:rsidR="00365CE4" w:rsidRDefault="00365CE4" w:rsidP="00365CE4">
      <w:pPr>
        <w:pStyle w:val="Default"/>
        <w:tabs>
          <w:tab w:val="left" w:pos="1440"/>
        </w:tabs>
        <w:rPr>
          <w:rFonts w:ascii="Calibri" w:hAnsi="Calibri"/>
          <w:b/>
          <w:color w:val="auto"/>
          <w:sz w:val="22"/>
          <w:szCs w:val="22"/>
        </w:rPr>
      </w:pPr>
      <w:r>
        <w:rPr>
          <w:rFonts w:ascii="Calibri" w:hAnsi="Calibri"/>
          <w:b/>
          <w:color w:val="auto"/>
          <w:sz w:val="22"/>
          <w:szCs w:val="22"/>
        </w:rPr>
        <w:t>Reviewed by:</w:t>
      </w:r>
      <w:r>
        <w:rPr>
          <w:rFonts w:ascii="Calibri" w:hAnsi="Calibri"/>
          <w:b/>
          <w:color w:val="auto"/>
          <w:sz w:val="22"/>
          <w:szCs w:val="22"/>
        </w:rPr>
        <w:tab/>
      </w:r>
      <w:r>
        <w:rPr>
          <w:rFonts w:ascii="Calibri" w:hAnsi="Calibri"/>
          <w:b/>
          <w:color w:val="auto"/>
          <w:sz w:val="22"/>
          <w:szCs w:val="22"/>
          <w:u w:val="single"/>
        </w:rPr>
        <w:tab/>
      </w:r>
      <w:r>
        <w:rPr>
          <w:rFonts w:ascii="Calibri" w:hAnsi="Calibri"/>
          <w:b/>
          <w:color w:val="auto"/>
          <w:sz w:val="22"/>
          <w:szCs w:val="22"/>
          <w:u w:val="single"/>
        </w:rPr>
        <w:tab/>
      </w:r>
      <w:r>
        <w:rPr>
          <w:rFonts w:ascii="Calibri" w:hAnsi="Calibri"/>
          <w:b/>
          <w:color w:val="auto"/>
          <w:sz w:val="22"/>
          <w:szCs w:val="22"/>
          <w:u w:val="single"/>
        </w:rPr>
        <w:tab/>
      </w:r>
      <w:r>
        <w:rPr>
          <w:rFonts w:ascii="Calibri" w:hAnsi="Calibri"/>
          <w:b/>
          <w:color w:val="auto"/>
          <w:sz w:val="22"/>
          <w:szCs w:val="22"/>
          <w:u w:val="single"/>
        </w:rPr>
        <w:tab/>
      </w:r>
      <w:r>
        <w:rPr>
          <w:rFonts w:ascii="Calibri" w:hAnsi="Calibri"/>
          <w:b/>
          <w:color w:val="auto"/>
          <w:sz w:val="22"/>
          <w:szCs w:val="22"/>
          <w:u w:val="single"/>
        </w:rPr>
        <w:tab/>
      </w:r>
      <w:r>
        <w:rPr>
          <w:rFonts w:ascii="Calibri" w:hAnsi="Calibri"/>
          <w:b/>
          <w:color w:val="auto"/>
          <w:sz w:val="22"/>
          <w:szCs w:val="22"/>
        </w:rPr>
        <w:tab/>
      </w:r>
      <w:r>
        <w:rPr>
          <w:rFonts w:ascii="Calibri" w:hAnsi="Calibri"/>
          <w:b/>
          <w:color w:val="auto"/>
          <w:sz w:val="22"/>
          <w:szCs w:val="22"/>
        </w:rPr>
        <w:tab/>
        <w:t xml:space="preserve">Date:   </w:t>
      </w:r>
      <w:r>
        <w:rPr>
          <w:rFonts w:ascii="Calibri" w:hAnsi="Calibri"/>
          <w:b/>
          <w:color w:val="auto"/>
          <w:sz w:val="22"/>
          <w:szCs w:val="22"/>
          <w:u w:val="single"/>
        </w:rPr>
        <w:tab/>
      </w:r>
      <w:r>
        <w:rPr>
          <w:rFonts w:ascii="Calibri" w:hAnsi="Calibri"/>
          <w:b/>
          <w:color w:val="auto"/>
          <w:sz w:val="22"/>
          <w:szCs w:val="22"/>
          <w:u w:val="single"/>
        </w:rPr>
        <w:tab/>
      </w:r>
      <w:r>
        <w:rPr>
          <w:rFonts w:ascii="Calibri" w:hAnsi="Calibri"/>
          <w:b/>
          <w:color w:val="auto"/>
          <w:sz w:val="22"/>
          <w:szCs w:val="22"/>
          <w:u w:val="single"/>
        </w:rPr>
        <w:tab/>
      </w:r>
      <w:r>
        <w:rPr>
          <w:rFonts w:ascii="Calibri" w:hAnsi="Calibri"/>
          <w:b/>
          <w:color w:val="auto"/>
          <w:sz w:val="22"/>
          <w:szCs w:val="22"/>
          <w:u w:val="single"/>
        </w:rPr>
        <w:tab/>
      </w:r>
    </w:p>
    <w:p w:rsidR="00EB0275" w:rsidRDefault="00365CE4"/>
    <w:sectPr w:rsidR="00EB0275" w:rsidSect="009C0A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5CE4"/>
    <w:rsid w:val="000523A7"/>
    <w:rsid w:val="00053C21"/>
    <w:rsid w:val="000A2B3D"/>
    <w:rsid w:val="000B161E"/>
    <w:rsid w:val="000E4E7B"/>
    <w:rsid w:val="001125B3"/>
    <w:rsid w:val="0021294B"/>
    <w:rsid w:val="00220D8D"/>
    <w:rsid w:val="00307227"/>
    <w:rsid w:val="003113A5"/>
    <w:rsid w:val="003209E7"/>
    <w:rsid w:val="00321CF3"/>
    <w:rsid w:val="00365CE4"/>
    <w:rsid w:val="00366A91"/>
    <w:rsid w:val="003F0F20"/>
    <w:rsid w:val="0047502E"/>
    <w:rsid w:val="004E2B49"/>
    <w:rsid w:val="004E646A"/>
    <w:rsid w:val="004F261D"/>
    <w:rsid w:val="00534D7B"/>
    <w:rsid w:val="005A2F73"/>
    <w:rsid w:val="005A383E"/>
    <w:rsid w:val="00602854"/>
    <w:rsid w:val="0063675B"/>
    <w:rsid w:val="00660268"/>
    <w:rsid w:val="006A65ED"/>
    <w:rsid w:val="00733215"/>
    <w:rsid w:val="00771582"/>
    <w:rsid w:val="007A393D"/>
    <w:rsid w:val="008144FA"/>
    <w:rsid w:val="00820C92"/>
    <w:rsid w:val="008C043A"/>
    <w:rsid w:val="009206DD"/>
    <w:rsid w:val="009C0A6D"/>
    <w:rsid w:val="009F7311"/>
    <w:rsid w:val="00A23DCE"/>
    <w:rsid w:val="00AA57AD"/>
    <w:rsid w:val="00B0722C"/>
    <w:rsid w:val="00B6489E"/>
    <w:rsid w:val="00BE475D"/>
    <w:rsid w:val="00C27CA8"/>
    <w:rsid w:val="00C55ECF"/>
    <w:rsid w:val="00CA6ADA"/>
    <w:rsid w:val="00CB23F5"/>
    <w:rsid w:val="00D015A9"/>
    <w:rsid w:val="00D10F92"/>
    <w:rsid w:val="00D357B0"/>
    <w:rsid w:val="00D75A14"/>
    <w:rsid w:val="00DF1624"/>
    <w:rsid w:val="00E1036E"/>
    <w:rsid w:val="00ED0714"/>
    <w:rsid w:val="00F332D0"/>
    <w:rsid w:val="00F46934"/>
    <w:rsid w:val="00F65611"/>
    <w:rsid w:val="00F96E59"/>
    <w:rsid w:val="00FD34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C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69">
    <w:name w:val="CM69"/>
    <w:basedOn w:val="Normal"/>
    <w:next w:val="Normal"/>
    <w:uiPriority w:val="99"/>
    <w:rsid w:val="00365CE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CM70">
    <w:name w:val="CM70"/>
    <w:basedOn w:val="Normal"/>
    <w:next w:val="Normal"/>
    <w:uiPriority w:val="99"/>
    <w:rsid w:val="00365CE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Default">
    <w:name w:val="Default"/>
    <w:rsid w:val="00365CE4"/>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73">
    <w:name w:val="CM73"/>
    <w:basedOn w:val="Default"/>
    <w:next w:val="Default"/>
    <w:uiPriority w:val="99"/>
    <w:rsid w:val="00365CE4"/>
    <w:rPr>
      <w:color w:val="auto"/>
    </w:rPr>
  </w:style>
  <w:style w:type="paragraph" w:customStyle="1" w:styleId="CM85">
    <w:name w:val="CM85"/>
    <w:basedOn w:val="Default"/>
    <w:next w:val="Default"/>
    <w:uiPriority w:val="99"/>
    <w:rsid w:val="00365CE4"/>
    <w:rPr>
      <w:color w:val="auto"/>
    </w:rPr>
  </w:style>
  <w:style w:type="paragraph" w:customStyle="1" w:styleId="CM86">
    <w:name w:val="CM86"/>
    <w:basedOn w:val="Default"/>
    <w:next w:val="Default"/>
    <w:uiPriority w:val="99"/>
    <w:rsid w:val="00365CE4"/>
    <w:rPr>
      <w:color w:val="auto"/>
    </w:rPr>
  </w:style>
  <w:style w:type="table" w:styleId="TableGrid">
    <w:name w:val="Table Grid"/>
    <w:basedOn w:val="TableNormal"/>
    <w:uiPriority w:val="59"/>
    <w:rsid w:val="00365C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5088</Characters>
  <Application>Microsoft Office Word</Application>
  <DocSecurity>0</DocSecurity>
  <Lines>42</Lines>
  <Paragraphs>11</Paragraphs>
  <ScaleCrop>false</ScaleCrop>
  <Company> </Company>
  <LinksUpToDate>false</LinksUpToDate>
  <CharactersWithSpaces>5969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Sherill Boline</dc:creator>
  <cp:keywords/>
  <dc:description/>
  <cp:lastModifiedBy>Sherill Boline</cp:lastModifiedBy>
  <cp:revision>1</cp:revision>
  <dcterms:created xsi:type="dcterms:W3CDTF">2008-08-27T19:34:00Z</dcterms:created>
  <dcterms:modified xsi:type="dcterms:W3CDTF">2008-08-27T19:34:00Z</dcterms:modified>
</cp:coreProperties>
</file>