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FA" w:rsidRDefault="004001FA" w:rsidP="004001FA">
      <w:pPr>
        <w:pStyle w:val="CM69"/>
        <w:pageBreakBefore/>
        <w:spacing w:line="368" w:lineRule="atLeast"/>
        <w:rPr>
          <w:rFonts w:ascii="Calibri" w:hAnsi="Calibri"/>
          <w:b/>
          <w:bCs/>
          <w:sz w:val="26"/>
          <w:szCs w:val="26"/>
        </w:rPr>
      </w:pPr>
      <w:r w:rsidRPr="00D8307F">
        <w:rPr>
          <w:rFonts w:ascii="Calibri" w:hAnsi="Calibri"/>
          <w:b/>
          <w:bCs/>
          <w:sz w:val="32"/>
          <w:szCs w:val="32"/>
        </w:rPr>
        <w:t xml:space="preserve">EXHIBIT </w:t>
      </w:r>
      <w:r>
        <w:rPr>
          <w:rFonts w:ascii="Calibri" w:hAnsi="Calibri"/>
          <w:b/>
          <w:bCs/>
          <w:sz w:val="32"/>
          <w:szCs w:val="32"/>
        </w:rPr>
        <w:t>2</w:t>
      </w:r>
      <w:r w:rsidRPr="00D8307F">
        <w:rPr>
          <w:rFonts w:ascii="Calibri" w:hAnsi="Calibri"/>
          <w:b/>
          <w:bCs/>
          <w:sz w:val="32"/>
          <w:szCs w:val="32"/>
        </w:rPr>
        <w:t>: E</w:t>
      </w:r>
      <w:r w:rsidRPr="00D8307F">
        <w:rPr>
          <w:rFonts w:ascii="Calibri" w:hAnsi="Calibri"/>
          <w:b/>
          <w:bCs/>
          <w:sz w:val="26"/>
          <w:szCs w:val="26"/>
        </w:rPr>
        <w:t xml:space="preserve">VALUATION </w:t>
      </w:r>
      <w:r w:rsidRPr="00D8307F">
        <w:rPr>
          <w:rFonts w:ascii="Calibri" w:hAnsi="Calibri"/>
          <w:b/>
          <w:bCs/>
          <w:sz w:val="32"/>
          <w:szCs w:val="32"/>
        </w:rPr>
        <w:t>Q</w:t>
      </w:r>
      <w:r w:rsidRPr="00D8307F">
        <w:rPr>
          <w:rFonts w:ascii="Calibri" w:hAnsi="Calibri"/>
          <w:b/>
          <w:bCs/>
          <w:sz w:val="26"/>
          <w:szCs w:val="26"/>
        </w:rPr>
        <w:t xml:space="preserve">UESTIONNAIRE FOR </w:t>
      </w:r>
      <w:r w:rsidRPr="00D8307F">
        <w:rPr>
          <w:rFonts w:ascii="Calibri" w:hAnsi="Calibri"/>
          <w:b/>
          <w:bCs/>
          <w:sz w:val="32"/>
          <w:szCs w:val="32"/>
        </w:rPr>
        <w:t>A</w:t>
      </w:r>
      <w:r w:rsidRPr="00D8307F">
        <w:rPr>
          <w:rFonts w:ascii="Calibri" w:hAnsi="Calibri"/>
          <w:b/>
          <w:bCs/>
          <w:sz w:val="26"/>
          <w:szCs w:val="26"/>
        </w:rPr>
        <w:t xml:space="preserve">SSESSING THE </w:t>
      </w:r>
      <w:r w:rsidRPr="00D8307F">
        <w:rPr>
          <w:rFonts w:ascii="Calibri" w:hAnsi="Calibri"/>
          <w:b/>
          <w:bCs/>
          <w:sz w:val="32"/>
          <w:szCs w:val="32"/>
        </w:rPr>
        <w:t>U</w:t>
      </w:r>
      <w:r w:rsidRPr="00D8307F">
        <w:rPr>
          <w:rFonts w:ascii="Calibri" w:hAnsi="Calibri"/>
          <w:b/>
          <w:bCs/>
          <w:sz w:val="26"/>
          <w:szCs w:val="26"/>
        </w:rPr>
        <w:t>NIVERSITY</w:t>
      </w:r>
      <w:r w:rsidRPr="00D8307F">
        <w:rPr>
          <w:rFonts w:ascii="Calibri" w:hAnsi="Calibri"/>
          <w:b/>
          <w:bCs/>
          <w:sz w:val="32"/>
          <w:szCs w:val="32"/>
        </w:rPr>
        <w:t>’</w:t>
      </w:r>
      <w:r w:rsidRPr="00D8307F">
        <w:rPr>
          <w:rFonts w:ascii="Calibri" w:hAnsi="Calibri"/>
          <w:b/>
          <w:bCs/>
          <w:sz w:val="26"/>
          <w:szCs w:val="26"/>
        </w:rPr>
        <w:t xml:space="preserve">S </w:t>
      </w:r>
      <w:r w:rsidRPr="00D8307F">
        <w:rPr>
          <w:rFonts w:ascii="Calibri" w:hAnsi="Calibri"/>
          <w:b/>
          <w:bCs/>
          <w:sz w:val="32"/>
          <w:szCs w:val="32"/>
        </w:rPr>
        <w:t>C</w:t>
      </w:r>
      <w:r w:rsidRPr="00D8307F">
        <w:rPr>
          <w:rFonts w:ascii="Calibri" w:hAnsi="Calibri"/>
          <w:b/>
          <w:bCs/>
          <w:sz w:val="26"/>
          <w:szCs w:val="26"/>
        </w:rPr>
        <w:t xml:space="preserve">ONTINUING </w:t>
      </w:r>
      <w:r w:rsidRPr="00D8307F">
        <w:rPr>
          <w:rFonts w:ascii="Calibri" w:hAnsi="Calibri"/>
          <w:b/>
          <w:bCs/>
          <w:sz w:val="32"/>
          <w:szCs w:val="32"/>
        </w:rPr>
        <w:t>I</w:t>
      </w:r>
      <w:r w:rsidRPr="00D8307F">
        <w:rPr>
          <w:rFonts w:ascii="Calibri" w:hAnsi="Calibri"/>
          <w:b/>
          <w:bCs/>
          <w:sz w:val="26"/>
          <w:szCs w:val="26"/>
        </w:rPr>
        <w:t xml:space="preserve">NVOLVEMENT IN </w:t>
      </w:r>
      <w:r>
        <w:rPr>
          <w:rFonts w:ascii="Calibri" w:hAnsi="Calibri"/>
          <w:b/>
          <w:bCs/>
          <w:sz w:val="26"/>
          <w:szCs w:val="26"/>
        </w:rPr>
        <w:t>FUTURE REVENUES</w:t>
      </w:r>
      <w:r w:rsidRPr="00D8307F">
        <w:rPr>
          <w:rFonts w:ascii="Calibri" w:hAnsi="Calibri"/>
          <w:b/>
          <w:bCs/>
          <w:sz w:val="26"/>
          <w:szCs w:val="26"/>
        </w:rPr>
        <w:t xml:space="preserve"> </w:t>
      </w:r>
    </w:p>
    <w:p w:rsidR="004001FA" w:rsidRDefault="004001FA" w:rsidP="004001FA">
      <w:pPr>
        <w:pStyle w:val="CM70"/>
        <w:spacing w:line="268" w:lineRule="atLeast"/>
        <w:rPr>
          <w:rFonts w:ascii="Calibri" w:hAnsi="Calibri"/>
          <w:sz w:val="22"/>
          <w:szCs w:val="22"/>
        </w:rPr>
      </w:pPr>
    </w:p>
    <w:p w:rsidR="004001FA" w:rsidRPr="00D8307F" w:rsidRDefault="004001FA" w:rsidP="004001FA">
      <w:pPr>
        <w:pStyle w:val="CM70"/>
        <w:spacing w:line="268" w:lineRule="atLeast"/>
        <w:jc w:val="both"/>
        <w:rPr>
          <w:rFonts w:ascii="Calibri" w:hAnsi="Calibri"/>
          <w:sz w:val="22"/>
          <w:szCs w:val="22"/>
        </w:rPr>
      </w:pPr>
      <w:r>
        <w:rPr>
          <w:rFonts w:ascii="Calibri" w:hAnsi="Calibri"/>
          <w:sz w:val="22"/>
          <w:szCs w:val="22"/>
        </w:rPr>
        <w:t xml:space="preserve">A significant aspect of the assessment is the degree to which the University retains or relinquishes to the transferee control over future revenues.  A transaction in which the University currently receives or is entitled to proceeds in exchange for future cash flows from </w:t>
      </w:r>
      <w:r w:rsidRPr="005D7667">
        <w:rPr>
          <w:rFonts w:ascii="Calibri" w:hAnsi="Calibri"/>
          <w:sz w:val="22"/>
          <w:szCs w:val="22"/>
          <w:u w:val="single"/>
        </w:rPr>
        <w:t>future</w:t>
      </w:r>
      <w:r>
        <w:rPr>
          <w:rFonts w:ascii="Calibri" w:hAnsi="Calibri"/>
          <w:sz w:val="22"/>
          <w:szCs w:val="22"/>
        </w:rPr>
        <w:t xml:space="preserve"> revenues should be reported as a sale if the </w:t>
      </w:r>
      <w:proofErr w:type="gramStart"/>
      <w:r>
        <w:rPr>
          <w:rFonts w:ascii="Calibri" w:hAnsi="Calibri"/>
          <w:sz w:val="22"/>
          <w:szCs w:val="22"/>
        </w:rPr>
        <w:t>University’s</w:t>
      </w:r>
      <w:proofErr w:type="gramEnd"/>
      <w:r>
        <w:rPr>
          <w:rFonts w:ascii="Calibri" w:hAnsi="Calibri"/>
          <w:sz w:val="22"/>
          <w:szCs w:val="22"/>
        </w:rPr>
        <w:t xml:space="preserve"> continuing involvement with these future revenues is effectively terminated </w:t>
      </w:r>
      <w:r w:rsidRPr="00D8307F">
        <w:rPr>
          <w:rFonts w:ascii="Calibri" w:hAnsi="Calibri"/>
          <w:sz w:val="20"/>
          <w:szCs w:val="20"/>
        </w:rPr>
        <w:t>(¶</w:t>
      </w:r>
      <w:r>
        <w:rPr>
          <w:rFonts w:ascii="Calibri" w:hAnsi="Calibri"/>
          <w:sz w:val="20"/>
          <w:szCs w:val="20"/>
        </w:rPr>
        <w:t>8</w:t>
      </w:r>
      <w:r w:rsidRPr="005D7667">
        <w:rPr>
          <w:rFonts w:ascii="Calibri" w:hAnsi="Calibri"/>
          <w:sz w:val="22"/>
          <w:szCs w:val="22"/>
        </w:rPr>
        <w:t xml:space="preserve">).  Note, however, that recognition </w:t>
      </w:r>
      <w:r>
        <w:rPr>
          <w:rFonts w:ascii="Calibri" w:hAnsi="Calibri"/>
          <w:sz w:val="22"/>
          <w:szCs w:val="22"/>
        </w:rPr>
        <w:t>of the revenue may need to be deferred.</w:t>
      </w:r>
    </w:p>
    <w:p w:rsidR="004001FA" w:rsidRPr="00F64792" w:rsidRDefault="004001FA" w:rsidP="004001FA">
      <w:pPr>
        <w:pStyle w:val="CM70"/>
        <w:spacing w:line="253" w:lineRule="atLeast"/>
        <w:jc w:val="both"/>
        <w:rPr>
          <w:rFonts w:ascii="Calibri" w:hAnsi="Calibri"/>
          <w:sz w:val="22"/>
          <w:szCs w:val="22"/>
        </w:rPr>
      </w:pPr>
    </w:p>
    <w:p w:rsidR="004001FA" w:rsidRPr="0083625E" w:rsidRDefault="004001FA" w:rsidP="004001FA">
      <w:pPr>
        <w:pStyle w:val="CM70"/>
        <w:spacing w:line="253" w:lineRule="atLeast"/>
        <w:jc w:val="both"/>
        <w:rPr>
          <w:rFonts w:ascii="Calibri" w:hAnsi="Calibri"/>
          <w:sz w:val="22"/>
          <w:szCs w:val="22"/>
        </w:rPr>
      </w:pPr>
      <w:r w:rsidRPr="0083625E">
        <w:rPr>
          <w:rFonts w:ascii="Calibri" w:hAnsi="Calibri"/>
          <w:sz w:val="22"/>
          <w:szCs w:val="22"/>
        </w:rPr>
        <w:t>The determination of whether the University’s continuing involvement is effectively terminated is dependent upon an evaluation of the following criteria</w:t>
      </w:r>
      <w:proofErr w:type="gramStart"/>
      <w:r w:rsidRPr="0083625E">
        <w:rPr>
          <w:rFonts w:ascii="Calibri" w:hAnsi="Calibri"/>
          <w:sz w:val="22"/>
          <w:szCs w:val="22"/>
        </w:rPr>
        <w:t xml:space="preserve">. </w:t>
      </w:r>
      <w:proofErr w:type="gramEnd"/>
      <w:r w:rsidRPr="0083625E">
        <w:rPr>
          <w:rFonts w:ascii="Calibri" w:hAnsi="Calibri"/>
          <w:sz w:val="22"/>
          <w:szCs w:val="22"/>
        </w:rPr>
        <w:t>A “yes” answer to any one of the questions indicates the University’s continuing involvement is not effectively terminated and, therefore, the transaction should not be reported as a sale.</w:t>
      </w:r>
    </w:p>
    <w:p w:rsidR="004001FA" w:rsidRPr="00D8307F" w:rsidRDefault="004001FA" w:rsidP="004001FA">
      <w:pPr>
        <w:rPr>
          <w:rFonts w:ascii="Calibri" w:hAnsi="Calibri"/>
        </w:rPr>
      </w:pPr>
    </w:p>
    <w:p w:rsidR="004001FA" w:rsidRPr="0083625E" w:rsidRDefault="004001FA" w:rsidP="004001FA">
      <w:pPr>
        <w:pStyle w:val="CM73"/>
        <w:spacing w:line="268" w:lineRule="atLeast"/>
        <w:rPr>
          <w:rFonts w:ascii="Calibri" w:hAnsi="Calibri"/>
          <w:sz w:val="22"/>
          <w:szCs w:val="22"/>
        </w:rPr>
      </w:pPr>
      <w:r w:rsidRPr="00D8307F">
        <w:rPr>
          <w:rFonts w:ascii="Calibri" w:hAnsi="Calibri"/>
          <w:b/>
          <w:bCs/>
          <w:sz w:val="22"/>
          <w:szCs w:val="22"/>
        </w:rPr>
        <w:t xml:space="preserve">Transaction Assessed: </w:t>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p>
    <w:p w:rsidR="004001FA" w:rsidRDefault="004001FA" w:rsidP="004001FA">
      <w:pPr>
        <w:pStyle w:val="Default"/>
        <w:rPr>
          <w:rFonts w:ascii="Calibri" w:hAnsi="Calibri"/>
          <w:b/>
          <w:bCs/>
          <w:color w:val="auto"/>
          <w:sz w:val="22"/>
          <w:szCs w:val="22"/>
        </w:rPr>
      </w:pPr>
    </w:p>
    <w:p w:rsidR="004001FA" w:rsidRPr="0083625E" w:rsidRDefault="004001FA" w:rsidP="004001FA">
      <w:pPr>
        <w:pStyle w:val="Default"/>
        <w:rPr>
          <w:rFonts w:ascii="Calibri" w:hAnsi="Calibri"/>
          <w:color w:val="auto"/>
          <w:sz w:val="22"/>
          <w:szCs w:val="22"/>
        </w:rPr>
      </w:pPr>
      <w:r w:rsidRPr="00D8307F">
        <w:rPr>
          <w:rFonts w:ascii="Calibri" w:hAnsi="Calibri"/>
          <w:b/>
          <w:bCs/>
          <w:color w:val="auto"/>
          <w:sz w:val="22"/>
          <w:szCs w:val="22"/>
        </w:rPr>
        <w:t xml:space="preserve">Conclusion: </w:t>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p>
    <w:p w:rsidR="004001FA" w:rsidRPr="00D8307F" w:rsidRDefault="004001FA" w:rsidP="004001FA">
      <w:pPr>
        <w:pStyle w:val="Default"/>
        <w:rPr>
          <w:rFonts w:ascii="Calibri" w:hAnsi="Calibri"/>
          <w:color w:val="auto"/>
          <w:sz w:val="22"/>
          <w:szCs w:val="22"/>
        </w:rPr>
      </w:pPr>
    </w:p>
    <w:p w:rsidR="004001FA" w:rsidRDefault="004001FA" w:rsidP="004001FA">
      <w:pPr>
        <w:pStyle w:val="Default"/>
        <w:rPr>
          <w:rFonts w:ascii="Calibri" w:hAnsi="Calibr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7"/>
        <w:gridCol w:w="887"/>
        <w:gridCol w:w="236"/>
        <w:gridCol w:w="1806"/>
      </w:tblGrid>
      <w:tr w:rsidR="004001FA" w:rsidRPr="00BC24EC" w:rsidTr="00461737">
        <w:trPr>
          <w:cantSplit/>
          <w:tblHeader/>
        </w:trPr>
        <w:tc>
          <w:tcPr>
            <w:tcW w:w="6647" w:type="dxa"/>
            <w:tcBorders>
              <w:top w:val="single" w:sz="4" w:space="0" w:color="auto"/>
              <w:left w:val="single" w:sz="4" w:space="0" w:color="auto"/>
              <w:bottom w:val="single" w:sz="4" w:space="0" w:color="auto"/>
            </w:tcBorders>
            <w:shd w:val="clear" w:color="auto" w:fill="BFBFBF" w:themeFill="background1" w:themeFillShade="BF"/>
          </w:tcPr>
          <w:p w:rsidR="004001FA" w:rsidRPr="00BC24EC" w:rsidRDefault="004001FA" w:rsidP="00461737">
            <w:pPr>
              <w:pStyle w:val="Default"/>
              <w:rPr>
                <w:rFonts w:ascii="Calibri" w:hAnsi="Calibri"/>
                <w:b/>
                <w:color w:val="auto"/>
                <w:sz w:val="22"/>
                <w:szCs w:val="22"/>
              </w:rPr>
            </w:pPr>
          </w:p>
        </w:tc>
        <w:tc>
          <w:tcPr>
            <w:tcW w:w="887" w:type="dxa"/>
            <w:tcBorders>
              <w:top w:val="single" w:sz="4" w:space="0" w:color="auto"/>
              <w:bottom w:val="single" w:sz="4" w:space="0" w:color="auto"/>
            </w:tcBorders>
            <w:shd w:val="clear" w:color="auto" w:fill="BFBFBF" w:themeFill="background1" w:themeFillShade="BF"/>
          </w:tcPr>
          <w:p w:rsidR="004001FA" w:rsidRPr="00BC24EC" w:rsidRDefault="004001FA" w:rsidP="00461737">
            <w:pPr>
              <w:pStyle w:val="Default"/>
              <w:jc w:val="center"/>
              <w:rPr>
                <w:rFonts w:ascii="Calibri" w:hAnsi="Calibri"/>
                <w:b/>
                <w:color w:val="auto"/>
                <w:sz w:val="22"/>
                <w:szCs w:val="22"/>
              </w:rPr>
            </w:pPr>
          </w:p>
          <w:p w:rsidR="004001FA" w:rsidRDefault="004001FA" w:rsidP="00461737">
            <w:pPr>
              <w:pStyle w:val="Default"/>
              <w:jc w:val="center"/>
              <w:rPr>
                <w:rFonts w:ascii="Calibri" w:hAnsi="Calibri"/>
                <w:b/>
                <w:color w:val="auto"/>
                <w:sz w:val="22"/>
                <w:szCs w:val="22"/>
              </w:rPr>
            </w:pPr>
          </w:p>
          <w:p w:rsidR="004001FA" w:rsidRDefault="004001FA" w:rsidP="00461737">
            <w:pPr>
              <w:pStyle w:val="Default"/>
              <w:jc w:val="center"/>
              <w:rPr>
                <w:rFonts w:ascii="Calibri" w:hAnsi="Calibri"/>
                <w:b/>
                <w:color w:val="auto"/>
                <w:sz w:val="22"/>
                <w:szCs w:val="22"/>
              </w:rPr>
            </w:pPr>
          </w:p>
          <w:p w:rsidR="004001FA" w:rsidRPr="00BC24EC" w:rsidRDefault="004001FA" w:rsidP="00461737">
            <w:pPr>
              <w:pStyle w:val="Default"/>
              <w:jc w:val="center"/>
              <w:rPr>
                <w:rFonts w:ascii="Calibri" w:hAnsi="Calibri"/>
                <w:b/>
                <w:color w:val="auto"/>
                <w:sz w:val="22"/>
                <w:szCs w:val="22"/>
              </w:rPr>
            </w:pPr>
            <w:r w:rsidRPr="00BC24EC">
              <w:rPr>
                <w:rFonts w:ascii="Calibri" w:hAnsi="Calibri"/>
                <w:b/>
                <w:color w:val="auto"/>
                <w:sz w:val="22"/>
                <w:szCs w:val="22"/>
              </w:rPr>
              <w:t>Yes/No</w:t>
            </w:r>
          </w:p>
        </w:tc>
        <w:tc>
          <w:tcPr>
            <w:tcW w:w="236" w:type="dxa"/>
            <w:tcBorders>
              <w:top w:val="single" w:sz="4" w:space="0" w:color="auto"/>
              <w:bottom w:val="single" w:sz="4" w:space="0" w:color="auto"/>
            </w:tcBorders>
            <w:shd w:val="clear" w:color="auto" w:fill="BFBFBF" w:themeFill="background1" w:themeFillShade="BF"/>
          </w:tcPr>
          <w:p w:rsidR="004001FA" w:rsidRPr="00BC24EC" w:rsidRDefault="004001FA" w:rsidP="00461737">
            <w:pPr>
              <w:pStyle w:val="Default"/>
              <w:jc w:val="center"/>
              <w:rPr>
                <w:rFonts w:ascii="Calibri" w:hAnsi="Calibri"/>
                <w:b/>
                <w:color w:val="auto"/>
                <w:sz w:val="22"/>
                <w:szCs w:val="22"/>
              </w:rPr>
            </w:pPr>
          </w:p>
        </w:tc>
        <w:tc>
          <w:tcPr>
            <w:tcW w:w="1806" w:type="dxa"/>
            <w:tcBorders>
              <w:top w:val="single" w:sz="4" w:space="0" w:color="auto"/>
              <w:bottom w:val="single" w:sz="4" w:space="0" w:color="auto"/>
              <w:right w:val="single" w:sz="4" w:space="0" w:color="auto"/>
            </w:tcBorders>
            <w:shd w:val="clear" w:color="auto" w:fill="BFBFBF" w:themeFill="background1" w:themeFillShade="BF"/>
          </w:tcPr>
          <w:p w:rsidR="004001FA" w:rsidRPr="00BC24EC" w:rsidRDefault="004001FA" w:rsidP="00461737">
            <w:pPr>
              <w:pStyle w:val="Default"/>
              <w:jc w:val="center"/>
              <w:rPr>
                <w:rFonts w:ascii="Calibri" w:hAnsi="Calibri"/>
                <w:b/>
                <w:color w:val="auto"/>
                <w:sz w:val="22"/>
                <w:szCs w:val="22"/>
              </w:rPr>
            </w:pPr>
            <w:r w:rsidRPr="00BC24EC">
              <w:rPr>
                <w:rFonts w:ascii="Calibri" w:hAnsi="Calibri"/>
                <w:b/>
                <w:color w:val="auto"/>
                <w:sz w:val="22"/>
                <w:szCs w:val="22"/>
              </w:rPr>
              <w:t>Source Document/</w:t>
            </w:r>
          </w:p>
          <w:p w:rsidR="004001FA" w:rsidRPr="00BC24EC" w:rsidRDefault="004001FA" w:rsidP="00461737">
            <w:pPr>
              <w:pStyle w:val="Default"/>
              <w:jc w:val="center"/>
              <w:rPr>
                <w:rFonts w:ascii="Calibri" w:hAnsi="Calibri"/>
                <w:b/>
                <w:color w:val="auto"/>
                <w:sz w:val="22"/>
                <w:szCs w:val="22"/>
              </w:rPr>
            </w:pPr>
            <w:r w:rsidRPr="00BC24EC">
              <w:rPr>
                <w:rFonts w:ascii="Calibri" w:hAnsi="Calibri"/>
                <w:b/>
                <w:color w:val="auto"/>
                <w:sz w:val="22"/>
                <w:szCs w:val="22"/>
              </w:rPr>
              <w:t>Specific Reference</w:t>
            </w:r>
          </w:p>
        </w:tc>
      </w:tr>
      <w:tr w:rsidR="004001FA" w:rsidRPr="00DD4B0D" w:rsidTr="00461737">
        <w:trPr>
          <w:cantSplit/>
        </w:trPr>
        <w:tc>
          <w:tcPr>
            <w:tcW w:w="6647" w:type="dxa"/>
            <w:tcBorders>
              <w:top w:val="single" w:sz="4" w:space="0" w:color="auto"/>
            </w:tcBorders>
          </w:tcPr>
          <w:p w:rsidR="004001FA" w:rsidRPr="00987037" w:rsidRDefault="004001FA" w:rsidP="00461737">
            <w:pPr>
              <w:pStyle w:val="CM73"/>
              <w:spacing w:line="253" w:lineRule="atLeast"/>
              <w:jc w:val="both"/>
              <w:rPr>
                <w:rFonts w:ascii="Calibri" w:hAnsi="Calibri"/>
                <w:b/>
                <w:sz w:val="20"/>
                <w:szCs w:val="20"/>
              </w:rPr>
            </w:pPr>
            <w:r w:rsidRPr="00987037">
              <w:rPr>
                <w:rFonts w:ascii="Calibri" w:hAnsi="Calibri"/>
                <w:b/>
                <w:sz w:val="20"/>
                <w:szCs w:val="20"/>
              </w:rPr>
              <w:t>Questions 1–4 outline the criteria to determine whether the University maintains active involvement in the future generation of revenues exchanged for current proceeds</w:t>
            </w:r>
            <w:proofErr w:type="gramStart"/>
            <w:r w:rsidRPr="00987037">
              <w:rPr>
                <w:rFonts w:ascii="Calibri" w:hAnsi="Calibri"/>
                <w:b/>
                <w:sz w:val="20"/>
                <w:szCs w:val="20"/>
              </w:rPr>
              <w:t xml:space="preserve">. </w:t>
            </w:r>
            <w:proofErr w:type="gramEnd"/>
            <w:r w:rsidRPr="00987037">
              <w:rPr>
                <w:rFonts w:ascii="Calibri" w:hAnsi="Calibri"/>
                <w:b/>
                <w:sz w:val="20"/>
                <w:szCs w:val="20"/>
              </w:rPr>
              <w:t>Active involvement generally requires a substantive action or performance by the University</w:t>
            </w:r>
            <w:proofErr w:type="gramStart"/>
            <w:r w:rsidRPr="00987037">
              <w:rPr>
                <w:rFonts w:ascii="Calibri" w:hAnsi="Calibri"/>
                <w:b/>
                <w:sz w:val="20"/>
                <w:szCs w:val="20"/>
              </w:rPr>
              <w:t xml:space="preserve">. </w:t>
            </w:r>
            <w:proofErr w:type="gramEnd"/>
            <w:r w:rsidRPr="00987037">
              <w:rPr>
                <w:rFonts w:ascii="Calibri" w:hAnsi="Calibri"/>
                <w:b/>
                <w:sz w:val="20"/>
                <w:szCs w:val="20"/>
              </w:rPr>
              <w:t>The University must determine whether the primary, fundamental activity or process that generates specific revenue requires a continuing active involvement (¶9)</w:t>
            </w:r>
            <w:proofErr w:type="gramStart"/>
            <w:r w:rsidRPr="00987037">
              <w:rPr>
                <w:rFonts w:ascii="Calibri" w:hAnsi="Calibri"/>
                <w:b/>
                <w:sz w:val="20"/>
                <w:szCs w:val="20"/>
              </w:rPr>
              <w:t xml:space="preserve">. </w:t>
            </w:r>
            <w:proofErr w:type="gramEnd"/>
          </w:p>
        </w:tc>
        <w:tc>
          <w:tcPr>
            <w:tcW w:w="887" w:type="dxa"/>
            <w:tcBorders>
              <w:top w:val="single" w:sz="4" w:space="0" w:color="auto"/>
            </w:tcBorders>
          </w:tcPr>
          <w:p w:rsidR="004001FA" w:rsidRPr="00DD4B0D" w:rsidRDefault="004001FA" w:rsidP="00461737">
            <w:pPr>
              <w:pStyle w:val="Default"/>
              <w:jc w:val="both"/>
              <w:rPr>
                <w:rFonts w:ascii="Calibri" w:hAnsi="Calibri"/>
                <w:color w:val="auto"/>
                <w:sz w:val="20"/>
                <w:szCs w:val="20"/>
              </w:rPr>
            </w:pPr>
          </w:p>
        </w:tc>
        <w:tc>
          <w:tcPr>
            <w:tcW w:w="236" w:type="dxa"/>
            <w:tcBorders>
              <w:top w:val="single" w:sz="4" w:space="0" w:color="auto"/>
            </w:tcBorders>
          </w:tcPr>
          <w:p w:rsidR="004001FA" w:rsidRPr="00DD4B0D"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DD4B0D"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Default"/>
              <w:jc w:val="both"/>
              <w:rPr>
                <w:rFonts w:ascii="Calibri" w:hAnsi="Calibri"/>
                <w:color w:val="auto"/>
                <w:sz w:val="20"/>
                <w:szCs w:val="20"/>
              </w:rPr>
            </w:pPr>
            <w:r>
              <w:rPr>
                <w:rFonts w:ascii="Calibri" w:hAnsi="Calibri"/>
                <w:color w:val="auto"/>
                <w:sz w:val="20"/>
                <w:szCs w:val="20"/>
              </w:rPr>
              <w:t xml:space="preserve">1. </w:t>
            </w:r>
            <w:r w:rsidRPr="00357DFC">
              <w:rPr>
                <w:rFonts w:ascii="Calibri" w:hAnsi="Calibri"/>
                <w:color w:val="auto"/>
                <w:sz w:val="20"/>
                <w:szCs w:val="20"/>
              </w:rPr>
              <w:t xml:space="preserve">Does the University produce or provide the goods or services that are exchanged for the revenues.  (¶9a)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357DFC" w:rsidRDefault="004001FA" w:rsidP="00461737">
            <w:pPr>
              <w:pStyle w:val="Default"/>
              <w:jc w:val="both"/>
              <w:rPr>
                <w:rFonts w:ascii="Calibri" w:hAnsi="Calibri"/>
                <w:color w:val="auto"/>
                <w:sz w:val="20"/>
                <w:szCs w:val="20"/>
              </w:rPr>
            </w:pPr>
          </w:p>
          <w:p w:rsidR="004001FA" w:rsidRPr="00357DFC" w:rsidRDefault="004001FA" w:rsidP="00461737">
            <w:pPr>
              <w:pStyle w:val="Default"/>
              <w:jc w:val="both"/>
              <w:rPr>
                <w:rFonts w:ascii="Calibri" w:hAnsi="Calibri"/>
                <w:color w:val="auto"/>
                <w:sz w:val="20"/>
                <w:szCs w:val="20"/>
              </w:rPr>
            </w:pPr>
            <w:r>
              <w:rPr>
                <w:rFonts w:ascii="Calibri" w:hAnsi="Calibri"/>
                <w:color w:val="auto"/>
                <w:sz w:val="20"/>
                <w:szCs w:val="20"/>
              </w:rPr>
              <w:t xml:space="preserve">2. </w:t>
            </w:r>
            <w:r w:rsidRPr="00357DFC">
              <w:rPr>
                <w:rFonts w:ascii="Calibri" w:hAnsi="Calibri"/>
                <w:color w:val="auto"/>
                <w:sz w:val="20"/>
                <w:szCs w:val="20"/>
              </w:rPr>
              <w:t>Does the University levy or assess taxes, fees, or charges and can the University directly influence the revenue base or the rate(s) applied to that base to generate the revenues</w:t>
            </w:r>
            <w:proofErr w:type="gramStart"/>
            <w:r w:rsidRPr="00357DFC">
              <w:rPr>
                <w:rFonts w:ascii="Calibri" w:hAnsi="Calibri"/>
                <w:color w:val="auto"/>
                <w:sz w:val="20"/>
                <w:szCs w:val="20"/>
              </w:rPr>
              <w:t xml:space="preserve">? </w:t>
            </w:r>
            <w:proofErr w:type="gramEnd"/>
            <w:r w:rsidRPr="00357DFC">
              <w:rPr>
                <w:rFonts w:ascii="Calibri" w:hAnsi="Calibri"/>
                <w:color w:val="auto"/>
                <w:sz w:val="20"/>
                <w:szCs w:val="20"/>
              </w:rPr>
              <w:t xml:space="preserve">(¶9b) </w:t>
            </w:r>
          </w:p>
        </w:tc>
        <w:tc>
          <w:tcPr>
            <w:tcW w:w="887" w:type="dxa"/>
            <w:tcBorders>
              <w:top w:val="single" w:sz="4" w:space="0" w:color="auto"/>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Default"/>
              <w:jc w:val="both"/>
              <w:rPr>
                <w:rFonts w:ascii="Calibri" w:hAnsi="Calibri"/>
                <w:color w:val="auto"/>
                <w:sz w:val="20"/>
                <w:szCs w:val="20"/>
              </w:rPr>
            </w:pPr>
            <w:r w:rsidRPr="00357DFC">
              <w:rPr>
                <w:rFonts w:ascii="Calibri" w:hAnsi="Calibri"/>
                <w:color w:val="auto"/>
                <w:sz w:val="20"/>
                <w:szCs w:val="20"/>
              </w:rPr>
              <w:t>3.</w:t>
            </w:r>
            <w:r>
              <w:rPr>
                <w:rFonts w:ascii="Calibri" w:hAnsi="Calibri"/>
                <w:color w:val="auto"/>
                <w:sz w:val="20"/>
                <w:szCs w:val="20"/>
              </w:rPr>
              <w:t xml:space="preserve"> </w:t>
            </w:r>
            <w:r w:rsidRPr="00357DFC">
              <w:rPr>
                <w:rFonts w:ascii="Calibri" w:hAnsi="Calibri"/>
                <w:color w:val="auto"/>
                <w:sz w:val="20"/>
                <w:szCs w:val="20"/>
              </w:rPr>
              <w:t>Is the University required to submit applications for grants or contributions from other</w:t>
            </w:r>
            <w:r w:rsidRPr="00D8307F">
              <w:rPr>
                <w:rFonts w:ascii="Calibri" w:hAnsi="Calibri"/>
                <w:color w:val="auto"/>
                <w:sz w:val="22"/>
                <w:szCs w:val="22"/>
              </w:rPr>
              <w:t xml:space="preserve"> </w:t>
            </w:r>
            <w:r w:rsidRPr="00357DFC">
              <w:rPr>
                <w:rFonts w:ascii="Calibri" w:hAnsi="Calibri"/>
                <w:color w:val="auto"/>
                <w:sz w:val="20"/>
                <w:szCs w:val="20"/>
              </w:rPr>
              <w:t>governments, organizations or individuals to obtain the revenues</w:t>
            </w:r>
            <w:proofErr w:type="gramStart"/>
            <w:r w:rsidRPr="00357DFC">
              <w:rPr>
                <w:rFonts w:ascii="Calibri" w:hAnsi="Calibri"/>
                <w:color w:val="auto"/>
                <w:sz w:val="20"/>
                <w:szCs w:val="20"/>
              </w:rPr>
              <w:t xml:space="preserve">? </w:t>
            </w:r>
            <w:proofErr w:type="gramEnd"/>
            <w:r w:rsidRPr="00357DFC">
              <w:rPr>
                <w:rFonts w:ascii="Calibri" w:hAnsi="Calibri"/>
                <w:color w:val="auto"/>
                <w:sz w:val="20"/>
                <w:szCs w:val="20"/>
              </w:rPr>
              <w:t xml:space="preserve">(¶9c)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357DFC" w:rsidRDefault="004001FA" w:rsidP="00461737">
            <w:pPr>
              <w:pStyle w:val="Default"/>
              <w:jc w:val="both"/>
              <w:rPr>
                <w:rFonts w:ascii="Calibri" w:hAnsi="Calibri"/>
                <w:color w:val="auto"/>
                <w:sz w:val="20"/>
                <w:szCs w:val="20"/>
              </w:rPr>
            </w:pPr>
            <w:r w:rsidRPr="00357DFC">
              <w:rPr>
                <w:rFonts w:ascii="Calibri" w:hAnsi="Calibri"/>
                <w:color w:val="auto"/>
                <w:sz w:val="20"/>
                <w:szCs w:val="20"/>
              </w:rPr>
              <w:t>Note: This application criterion refers to ongoing requirements that qualify the University to continue to receive grants or contributions in future years, rather than an initial application or qualification process that remains effective without further effort by the University</w:t>
            </w:r>
            <w:proofErr w:type="gramStart"/>
            <w:r w:rsidRPr="00357DFC">
              <w:rPr>
                <w:rFonts w:ascii="Calibri" w:hAnsi="Calibri"/>
                <w:color w:val="auto"/>
                <w:sz w:val="20"/>
                <w:szCs w:val="20"/>
              </w:rPr>
              <w:t xml:space="preserve">. </w:t>
            </w:r>
            <w:proofErr w:type="gramEnd"/>
          </w:p>
        </w:tc>
        <w:tc>
          <w:tcPr>
            <w:tcW w:w="887"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Default"/>
              <w:jc w:val="both"/>
              <w:rPr>
                <w:rFonts w:ascii="Calibri" w:hAnsi="Calibri"/>
                <w:color w:val="auto"/>
                <w:sz w:val="20"/>
                <w:szCs w:val="20"/>
              </w:rPr>
            </w:pPr>
            <w:r>
              <w:rPr>
                <w:rFonts w:ascii="Calibri" w:hAnsi="Calibri"/>
                <w:color w:val="auto"/>
                <w:sz w:val="20"/>
                <w:szCs w:val="20"/>
              </w:rPr>
              <w:t xml:space="preserve">4. </w:t>
            </w:r>
            <w:r w:rsidRPr="00357DFC">
              <w:rPr>
                <w:rFonts w:ascii="Calibri" w:hAnsi="Calibri"/>
                <w:color w:val="auto"/>
                <w:sz w:val="20"/>
                <w:szCs w:val="20"/>
              </w:rPr>
              <w:t>Is the University required to meet grant or contribution performance provisions to qualify for those revenues</w:t>
            </w:r>
            <w:proofErr w:type="gramStart"/>
            <w:r w:rsidRPr="00357DFC">
              <w:rPr>
                <w:rFonts w:ascii="Calibri" w:hAnsi="Calibri"/>
                <w:color w:val="auto"/>
                <w:sz w:val="20"/>
                <w:szCs w:val="20"/>
              </w:rPr>
              <w:t xml:space="preserve">? </w:t>
            </w:r>
            <w:proofErr w:type="gramEnd"/>
            <w:r w:rsidRPr="00357DFC">
              <w:rPr>
                <w:rFonts w:ascii="Calibri" w:hAnsi="Calibri"/>
                <w:color w:val="auto"/>
                <w:sz w:val="20"/>
                <w:szCs w:val="20"/>
              </w:rPr>
              <w:t xml:space="preserve">(¶9d)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357DFC" w:rsidRDefault="004001FA" w:rsidP="00461737">
            <w:pPr>
              <w:pStyle w:val="CM31"/>
              <w:jc w:val="both"/>
              <w:rPr>
                <w:rFonts w:ascii="Calibri" w:hAnsi="Calibri"/>
                <w:b/>
                <w:sz w:val="20"/>
                <w:szCs w:val="20"/>
              </w:rPr>
            </w:pPr>
            <w:r w:rsidRPr="00357DFC">
              <w:rPr>
                <w:rFonts w:ascii="Calibri" w:hAnsi="Calibri"/>
                <w:b/>
                <w:sz w:val="20"/>
                <w:szCs w:val="20"/>
              </w:rPr>
              <w:lastRenderedPageBreak/>
              <w:t>Questions 5–7 outline the criteria to determine whether the substance of the transaction is indicative of whether the sale has been substantively consummated.</w:t>
            </w:r>
          </w:p>
        </w:tc>
        <w:tc>
          <w:tcPr>
            <w:tcW w:w="887" w:type="dxa"/>
            <w:tcBorders>
              <w:top w:val="single" w:sz="4" w:space="0" w:color="auto"/>
            </w:tcBorders>
            <w:vAlign w:val="bottom"/>
          </w:tcPr>
          <w:p w:rsidR="004001FA" w:rsidRPr="00357DFC" w:rsidRDefault="004001FA" w:rsidP="00461737">
            <w:pPr>
              <w:pStyle w:val="Default"/>
              <w:jc w:val="center"/>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CM31"/>
              <w:jc w:val="both"/>
              <w:rPr>
                <w:rFonts w:ascii="Calibri" w:hAnsi="Calibri"/>
                <w:sz w:val="20"/>
                <w:szCs w:val="20"/>
              </w:rPr>
            </w:pPr>
            <w:r w:rsidRPr="00357DFC">
              <w:rPr>
                <w:rFonts w:ascii="Calibri" w:hAnsi="Calibri"/>
                <w:sz w:val="20"/>
                <w:szCs w:val="20"/>
              </w:rPr>
              <w:t>5. Is the transferee’s ability (or the ability of the ultimate holder/owner of the future cash flows) to subsequently sell or pledge the future cash flows significantly limited by constraints imposed by the University, either in the transfer agreement or through other means</w:t>
            </w:r>
            <w:proofErr w:type="gramStart"/>
            <w:r w:rsidRPr="00357DFC">
              <w:rPr>
                <w:rFonts w:ascii="Calibri" w:hAnsi="Calibri"/>
                <w:sz w:val="20"/>
                <w:szCs w:val="20"/>
              </w:rPr>
              <w:t xml:space="preserve">? </w:t>
            </w:r>
            <w:proofErr w:type="gramEnd"/>
            <w:r w:rsidRPr="00357DFC">
              <w:rPr>
                <w:rFonts w:ascii="Calibri" w:hAnsi="Calibri"/>
                <w:sz w:val="20"/>
                <w:szCs w:val="20"/>
              </w:rPr>
              <w:t xml:space="preserve">(¶8b)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b/>
                <w:color w:val="auto"/>
                <w:sz w:val="20"/>
                <w:szCs w:val="20"/>
              </w:rPr>
            </w:pPr>
          </w:p>
          <w:p w:rsidR="004001FA" w:rsidRPr="00357DFC" w:rsidRDefault="004001FA" w:rsidP="00461737">
            <w:pPr>
              <w:pStyle w:val="Default"/>
              <w:jc w:val="both"/>
              <w:rPr>
                <w:rFonts w:ascii="Calibri" w:hAnsi="Calibri"/>
                <w:color w:val="auto"/>
                <w:sz w:val="20"/>
                <w:szCs w:val="20"/>
              </w:rPr>
            </w:pPr>
            <w:r w:rsidRPr="00357DFC">
              <w:rPr>
                <w:rFonts w:ascii="Calibri" w:hAnsi="Calibri"/>
                <w:color w:val="auto"/>
                <w:sz w:val="20"/>
                <w:szCs w:val="20"/>
              </w:rPr>
              <w:t>6. Does the contract, agreement, or other arrangement between the original resource provider (a grantor organization, for example) and the University prohibit the transfer or assignment of those resources</w:t>
            </w:r>
            <w:proofErr w:type="gramStart"/>
            <w:r w:rsidRPr="00357DFC">
              <w:rPr>
                <w:rFonts w:ascii="Calibri" w:hAnsi="Calibri"/>
                <w:color w:val="auto"/>
                <w:sz w:val="20"/>
                <w:szCs w:val="20"/>
              </w:rPr>
              <w:t xml:space="preserve">? </w:t>
            </w:r>
            <w:proofErr w:type="gramEnd"/>
            <w:r w:rsidRPr="00357DFC">
              <w:rPr>
                <w:rFonts w:ascii="Calibri" w:hAnsi="Calibri"/>
                <w:color w:val="auto"/>
                <w:sz w:val="20"/>
                <w:szCs w:val="20"/>
              </w:rPr>
              <w:t xml:space="preserve">(¶8d) </w:t>
            </w:r>
          </w:p>
        </w:tc>
        <w:tc>
          <w:tcPr>
            <w:tcW w:w="887"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Height w:val="70"/>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Default"/>
              <w:jc w:val="both"/>
              <w:rPr>
                <w:rFonts w:ascii="Calibri" w:hAnsi="Calibri"/>
                <w:color w:val="auto"/>
                <w:sz w:val="20"/>
                <w:szCs w:val="20"/>
              </w:rPr>
            </w:pPr>
            <w:r>
              <w:rPr>
                <w:rFonts w:ascii="Calibri" w:hAnsi="Calibri"/>
                <w:color w:val="auto"/>
                <w:sz w:val="20"/>
                <w:szCs w:val="20"/>
              </w:rPr>
              <w:t xml:space="preserve">7. </w:t>
            </w:r>
            <w:r w:rsidRPr="00357DFC">
              <w:rPr>
                <w:rFonts w:ascii="Calibri" w:hAnsi="Calibri"/>
                <w:color w:val="auto"/>
                <w:sz w:val="20"/>
                <w:szCs w:val="20"/>
              </w:rPr>
              <w:t>Is the sale agreement cancellable by either party, including cancellation through payment of a lump sum or transfer of other assets or rights</w:t>
            </w:r>
            <w:proofErr w:type="gramStart"/>
            <w:r w:rsidRPr="00357DFC">
              <w:rPr>
                <w:rFonts w:ascii="Calibri" w:hAnsi="Calibri"/>
                <w:color w:val="auto"/>
                <w:sz w:val="20"/>
                <w:szCs w:val="20"/>
              </w:rPr>
              <w:t xml:space="preserve">? </w:t>
            </w:r>
            <w:proofErr w:type="gramEnd"/>
            <w:r w:rsidRPr="00357DFC">
              <w:rPr>
                <w:rFonts w:ascii="Calibri" w:hAnsi="Calibri"/>
                <w:color w:val="auto"/>
                <w:sz w:val="20"/>
                <w:szCs w:val="20"/>
              </w:rPr>
              <w:t xml:space="preserve">(¶8e) </w:t>
            </w:r>
          </w:p>
        </w:tc>
        <w:tc>
          <w:tcPr>
            <w:tcW w:w="887" w:type="dxa"/>
            <w:tcBorders>
              <w:top w:val="single" w:sz="4" w:space="0" w:color="auto"/>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357DFC" w:rsidRDefault="004001FA" w:rsidP="00461737">
            <w:pPr>
              <w:pStyle w:val="CM73"/>
              <w:spacing w:line="251" w:lineRule="atLeast"/>
              <w:jc w:val="both"/>
              <w:rPr>
                <w:rFonts w:ascii="Calibri" w:hAnsi="Calibri"/>
                <w:sz w:val="20"/>
                <w:szCs w:val="20"/>
              </w:rPr>
            </w:pPr>
          </w:p>
          <w:p w:rsidR="004001FA" w:rsidRPr="00357DFC" w:rsidRDefault="004001FA" w:rsidP="00461737">
            <w:pPr>
              <w:pStyle w:val="CM73"/>
              <w:spacing w:line="253" w:lineRule="atLeast"/>
              <w:jc w:val="both"/>
              <w:rPr>
                <w:sz w:val="20"/>
                <w:szCs w:val="20"/>
              </w:rPr>
            </w:pPr>
            <w:r w:rsidRPr="00357DFC">
              <w:rPr>
                <w:rFonts w:ascii="Calibri" w:hAnsi="Calibri"/>
                <w:sz w:val="20"/>
                <w:szCs w:val="20"/>
              </w:rPr>
              <w:t xml:space="preserve">If “yes” to </w:t>
            </w:r>
            <w:r w:rsidRPr="00357DFC">
              <w:rPr>
                <w:rFonts w:ascii="Calibri" w:hAnsi="Calibri"/>
                <w:sz w:val="20"/>
                <w:szCs w:val="20"/>
                <w:u w:val="single"/>
              </w:rPr>
              <w:t>any one</w:t>
            </w:r>
            <w:r w:rsidRPr="00357DFC">
              <w:rPr>
                <w:rFonts w:ascii="Calibri" w:hAnsi="Calibri"/>
                <w:sz w:val="20"/>
                <w:szCs w:val="20"/>
              </w:rPr>
              <w:t xml:space="preserve"> of Questions 1–7, the University has continuing active involvement and the transaction must be recorded as a collateralized borrowing, not a true sale of the future revenues.</w:t>
            </w:r>
          </w:p>
        </w:tc>
        <w:tc>
          <w:tcPr>
            <w:tcW w:w="887"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CM73"/>
              <w:spacing w:line="253" w:lineRule="atLeast"/>
              <w:jc w:val="both"/>
              <w:rPr>
                <w:rFonts w:ascii="Calibri" w:hAnsi="Calibri"/>
                <w:sz w:val="20"/>
                <w:szCs w:val="20"/>
              </w:rPr>
            </w:pPr>
          </w:p>
          <w:p w:rsidR="004001FA" w:rsidRPr="00357DFC" w:rsidRDefault="004001FA" w:rsidP="00461737">
            <w:pPr>
              <w:pStyle w:val="CM73"/>
              <w:spacing w:line="253" w:lineRule="atLeast"/>
              <w:jc w:val="both"/>
              <w:rPr>
                <w:sz w:val="20"/>
                <w:szCs w:val="20"/>
              </w:rPr>
            </w:pPr>
            <w:r w:rsidRPr="00357DFC">
              <w:rPr>
                <w:rFonts w:ascii="Calibri" w:hAnsi="Calibri"/>
                <w:sz w:val="20"/>
                <w:szCs w:val="20"/>
              </w:rPr>
              <w:t xml:space="preserve">If “no” to all of </w:t>
            </w:r>
            <w:proofErr w:type="gramStart"/>
            <w:r w:rsidRPr="00357DFC">
              <w:rPr>
                <w:rFonts w:ascii="Calibri" w:hAnsi="Calibri"/>
                <w:sz w:val="20"/>
                <w:szCs w:val="20"/>
              </w:rPr>
              <w:t>Questions</w:t>
            </w:r>
            <w:proofErr w:type="gramEnd"/>
            <w:r w:rsidRPr="00357DFC">
              <w:rPr>
                <w:rFonts w:ascii="Calibri" w:hAnsi="Calibri"/>
                <w:sz w:val="20"/>
                <w:szCs w:val="20"/>
              </w:rPr>
              <w:t xml:space="preserve"> 1–7, continue to assess whether the future revenues are isolated from the University.</w:t>
            </w:r>
          </w:p>
        </w:tc>
        <w:tc>
          <w:tcPr>
            <w:tcW w:w="887" w:type="dxa"/>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CM85"/>
              <w:spacing w:line="251" w:lineRule="atLeast"/>
              <w:jc w:val="both"/>
              <w:rPr>
                <w:sz w:val="20"/>
                <w:szCs w:val="20"/>
              </w:rPr>
            </w:pPr>
          </w:p>
          <w:p w:rsidR="004001FA" w:rsidRPr="00357DFC" w:rsidRDefault="004001FA" w:rsidP="00461737">
            <w:pPr>
              <w:pStyle w:val="CM73"/>
              <w:spacing w:line="253" w:lineRule="atLeast"/>
              <w:jc w:val="both"/>
              <w:rPr>
                <w:rFonts w:ascii="Calibri" w:hAnsi="Calibri"/>
                <w:sz w:val="20"/>
                <w:szCs w:val="20"/>
              </w:rPr>
            </w:pPr>
            <w:r w:rsidRPr="00357DFC">
              <w:rPr>
                <w:rFonts w:ascii="Calibri" w:hAnsi="Calibri"/>
                <w:sz w:val="20"/>
                <w:szCs w:val="20"/>
              </w:rPr>
              <w:t>Generally, banking arrangements should eliminate access by the University or its component units to the cash generated by collecting the future revenues</w:t>
            </w:r>
            <w:proofErr w:type="gramStart"/>
            <w:r w:rsidRPr="00357DFC">
              <w:rPr>
                <w:rFonts w:ascii="Calibri" w:hAnsi="Calibri"/>
                <w:sz w:val="20"/>
                <w:szCs w:val="20"/>
              </w:rPr>
              <w:t xml:space="preserve">. </w:t>
            </w:r>
            <w:proofErr w:type="gramEnd"/>
            <w:r w:rsidRPr="00357DFC">
              <w:rPr>
                <w:rFonts w:ascii="Calibri" w:hAnsi="Calibri"/>
                <w:sz w:val="20"/>
                <w:szCs w:val="20"/>
              </w:rPr>
              <w:t>Access is eliminated when cash collection of future revenues are made directly to a custodial account maintained for the benefit of the transferee.</w:t>
            </w:r>
          </w:p>
        </w:tc>
        <w:tc>
          <w:tcPr>
            <w:tcW w:w="887" w:type="dxa"/>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Default"/>
              <w:jc w:val="both"/>
              <w:rPr>
                <w:rFonts w:ascii="Calibri" w:hAnsi="Calibri"/>
                <w:color w:val="auto"/>
                <w:sz w:val="20"/>
                <w:szCs w:val="20"/>
              </w:rPr>
            </w:pPr>
          </w:p>
          <w:p w:rsidR="004001FA" w:rsidRPr="00357DFC" w:rsidRDefault="004001FA" w:rsidP="00461737">
            <w:pPr>
              <w:pStyle w:val="CM73"/>
              <w:spacing w:line="253" w:lineRule="atLeast"/>
              <w:rPr>
                <w:rFonts w:ascii="Calibri" w:hAnsi="Calibri"/>
                <w:sz w:val="20"/>
                <w:szCs w:val="20"/>
              </w:rPr>
            </w:pPr>
            <w:r>
              <w:rPr>
                <w:rFonts w:ascii="Calibri" w:hAnsi="Calibri"/>
                <w:sz w:val="20"/>
                <w:szCs w:val="20"/>
              </w:rPr>
              <w:t xml:space="preserve">8. </w:t>
            </w:r>
            <w:r w:rsidRPr="00357DFC">
              <w:rPr>
                <w:rFonts w:ascii="Calibri" w:hAnsi="Calibri"/>
                <w:sz w:val="20"/>
                <w:szCs w:val="20"/>
              </w:rPr>
              <w:t>Are cash collections of future revenues made through the University (and, presumably, then remitted to the transferee), as opposed to cash collections of future revenues made directly to a custodial account maintained for the benefit of the transferee</w:t>
            </w:r>
            <w:proofErr w:type="gramStart"/>
            <w:r w:rsidRPr="00357DFC">
              <w:rPr>
                <w:rFonts w:ascii="Calibri" w:hAnsi="Calibri"/>
                <w:sz w:val="20"/>
                <w:szCs w:val="20"/>
              </w:rPr>
              <w:t xml:space="preserve">? </w:t>
            </w:r>
            <w:proofErr w:type="gramEnd"/>
            <w:r w:rsidRPr="00357DFC">
              <w:rPr>
                <w:rFonts w:ascii="Calibri" w:hAnsi="Calibri"/>
                <w:sz w:val="20"/>
                <w:szCs w:val="20"/>
              </w:rPr>
              <w:t xml:space="preserve">(¶8c)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987037" w:rsidRDefault="004001FA" w:rsidP="00461737">
            <w:pPr>
              <w:pStyle w:val="Default"/>
              <w:jc w:val="both"/>
              <w:rPr>
                <w:rFonts w:ascii="Calibri" w:hAnsi="Calibri"/>
                <w:color w:val="auto"/>
                <w:sz w:val="20"/>
                <w:szCs w:val="20"/>
              </w:rPr>
            </w:pPr>
          </w:p>
          <w:p w:rsidR="004001FA" w:rsidRPr="00987037" w:rsidRDefault="004001FA" w:rsidP="00461737">
            <w:pPr>
              <w:pStyle w:val="CM73"/>
              <w:spacing w:line="253" w:lineRule="atLeast"/>
              <w:jc w:val="both"/>
              <w:rPr>
                <w:rFonts w:ascii="Calibri" w:hAnsi="Calibri"/>
                <w:sz w:val="20"/>
                <w:szCs w:val="20"/>
              </w:rPr>
            </w:pPr>
            <w:r w:rsidRPr="00987037">
              <w:rPr>
                <w:rFonts w:ascii="Calibri" w:hAnsi="Calibri"/>
                <w:sz w:val="20"/>
                <w:szCs w:val="20"/>
              </w:rPr>
              <w:t xml:space="preserve">If the answer to </w:t>
            </w:r>
            <w:r w:rsidRPr="00987037">
              <w:rPr>
                <w:rFonts w:ascii="Calibri" w:hAnsi="Calibri"/>
                <w:sz w:val="20"/>
                <w:szCs w:val="20"/>
                <w:u w:val="single"/>
              </w:rPr>
              <w:t>all</w:t>
            </w:r>
            <w:r w:rsidRPr="00987037">
              <w:rPr>
                <w:rFonts w:ascii="Calibri" w:hAnsi="Calibri"/>
                <w:sz w:val="20"/>
                <w:szCs w:val="20"/>
              </w:rPr>
              <w:t xml:space="preserve"> of Questions 1–7 </w:t>
            </w:r>
            <w:r w:rsidRPr="00987037">
              <w:rPr>
                <w:rFonts w:ascii="Calibri" w:hAnsi="Calibri"/>
                <w:sz w:val="20"/>
                <w:szCs w:val="20"/>
                <w:u w:val="single"/>
              </w:rPr>
              <w:t>and</w:t>
            </w:r>
            <w:r w:rsidRPr="00987037">
              <w:rPr>
                <w:rFonts w:ascii="Calibri" w:hAnsi="Calibri"/>
                <w:sz w:val="20"/>
                <w:szCs w:val="20"/>
              </w:rPr>
              <w:t xml:space="preserve"> Question 8 is “no,” then the transaction must be reported as a true sale of future revenues and not a collateralized borrowing</w:t>
            </w:r>
            <w:proofErr w:type="gramStart"/>
            <w:r w:rsidRPr="00987037">
              <w:rPr>
                <w:rFonts w:ascii="Calibri" w:hAnsi="Calibri"/>
                <w:sz w:val="20"/>
                <w:szCs w:val="20"/>
              </w:rPr>
              <w:t xml:space="preserve">. </w:t>
            </w:r>
            <w:proofErr w:type="gramEnd"/>
          </w:p>
        </w:tc>
        <w:tc>
          <w:tcPr>
            <w:tcW w:w="887"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Pr="00987037" w:rsidRDefault="004001FA" w:rsidP="00461737">
            <w:pPr>
              <w:pStyle w:val="Default"/>
              <w:jc w:val="both"/>
              <w:rPr>
                <w:rFonts w:ascii="Calibri" w:hAnsi="Calibri"/>
                <w:color w:val="auto"/>
                <w:sz w:val="20"/>
                <w:szCs w:val="20"/>
              </w:rPr>
            </w:pPr>
          </w:p>
          <w:p w:rsidR="004001FA" w:rsidRPr="00987037" w:rsidRDefault="004001FA" w:rsidP="00461737">
            <w:pPr>
              <w:pStyle w:val="CM73"/>
              <w:spacing w:line="253" w:lineRule="atLeast"/>
              <w:jc w:val="both"/>
              <w:rPr>
                <w:rFonts w:ascii="Calibri" w:hAnsi="Calibri"/>
                <w:sz w:val="20"/>
                <w:szCs w:val="20"/>
              </w:rPr>
            </w:pPr>
            <w:r w:rsidRPr="00987037">
              <w:rPr>
                <w:rFonts w:ascii="Calibri" w:hAnsi="Calibri"/>
                <w:sz w:val="20"/>
                <w:szCs w:val="20"/>
              </w:rPr>
              <w:t>If the answer to Question 8 is “yes” it tentatively leads to a presumption of a collateralized borrowing that  may be mitigated by “no” answers to the following questions</w:t>
            </w:r>
            <w:proofErr w:type="gramStart"/>
            <w:r w:rsidRPr="00987037">
              <w:rPr>
                <w:rFonts w:ascii="Calibri" w:hAnsi="Calibri"/>
                <w:sz w:val="20"/>
                <w:szCs w:val="20"/>
              </w:rPr>
              <w:t xml:space="preserve">. </w:t>
            </w:r>
            <w:proofErr w:type="gramEnd"/>
            <w:r w:rsidRPr="00987037">
              <w:rPr>
                <w:rFonts w:ascii="Calibri" w:hAnsi="Calibri"/>
                <w:sz w:val="20"/>
                <w:szCs w:val="20"/>
              </w:rPr>
              <w:t>It may be that the University continues to collect the future revenues, or obligors may misdirect their payments to the University rather than the transferee</w:t>
            </w:r>
            <w:proofErr w:type="gramStart"/>
            <w:r w:rsidRPr="00987037">
              <w:rPr>
                <w:rFonts w:ascii="Calibri" w:hAnsi="Calibri"/>
                <w:sz w:val="20"/>
                <w:szCs w:val="20"/>
              </w:rPr>
              <w:t xml:space="preserve">. </w:t>
            </w:r>
            <w:proofErr w:type="gramEnd"/>
            <w:r w:rsidRPr="00987037">
              <w:rPr>
                <w:rFonts w:ascii="Calibri" w:hAnsi="Calibri"/>
                <w:sz w:val="20"/>
                <w:szCs w:val="20"/>
              </w:rPr>
              <w:t xml:space="preserve">In this circumstance, access to the cash generated by collecting the future revenues is deemed to be eliminated if </w:t>
            </w:r>
            <w:r w:rsidRPr="00987037">
              <w:rPr>
                <w:rFonts w:ascii="Calibri" w:hAnsi="Calibri"/>
                <w:sz w:val="20"/>
                <w:szCs w:val="20"/>
                <w:u w:val="single"/>
              </w:rPr>
              <w:t>all</w:t>
            </w:r>
            <w:r w:rsidRPr="00987037">
              <w:rPr>
                <w:rFonts w:ascii="Calibri" w:hAnsi="Calibri"/>
                <w:sz w:val="20"/>
                <w:szCs w:val="20"/>
              </w:rPr>
              <w:t xml:space="preserve"> of the answers to the following questions are “no.” </w:t>
            </w:r>
          </w:p>
        </w:tc>
        <w:tc>
          <w:tcPr>
            <w:tcW w:w="887" w:type="dxa"/>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Pr>
          <w:p w:rsidR="004001FA" w:rsidRPr="00357DFC" w:rsidRDefault="004001FA" w:rsidP="00461737">
            <w:pPr>
              <w:pStyle w:val="Default"/>
              <w:jc w:val="both"/>
              <w:rPr>
                <w:rFonts w:ascii="Calibri" w:hAnsi="Calibri"/>
                <w:color w:val="auto"/>
                <w:sz w:val="20"/>
                <w:szCs w:val="20"/>
              </w:rPr>
            </w:pPr>
          </w:p>
        </w:tc>
      </w:tr>
      <w:tr w:rsidR="004001FA" w:rsidRPr="00357DFC" w:rsidTr="00461737">
        <w:trPr>
          <w:cantSplit/>
        </w:trPr>
        <w:tc>
          <w:tcPr>
            <w:tcW w:w="6647" w:type="dxa"/>
          </w:tcPr>
          <w:p w:rsidR="004001FA" w:rsidRDefault="004001FA" w:rsidP="00461737">
            <w:pPr>
              <w:pStyle w:val="CM86"/>
              <w:spacing w:line="268" w:lineRule="atLeast"/>
              <w:jc w:val="both"/>
              <w:rPr>
                <w:rFonts w:ascii="Calibri" w:hAnsi="Calibri"/>
                <w:sz w:val="20"/>
                <w:szCs w:val="20"/>
              </w:rPr>
            </w:pPr>
          </w:p>
          <w:p w:rsidR="004001FA" w:rsidRPr="00357DFC" w:rsidRDefault="004001FA" w:rsidP="00461737">
            <w:pPr>
              <w:pStyle w:val="CM81"/>
              <w:spacing w:line="253" w:lineRule="atLeast"/>
              <w:jc w:val="both"/>
            </w:pPr>
            <w:r>
              <w:rPr>
                <w:rFonts w:ascii="Calibri" w:hAnsi="Calibri"/>
                <w:sz w:val="20"/>
                <w:szCs w:val="20"/>
              </w:rPr>
              <w:t xml:space="preserve">9. </w:t>
            </w:r>
            <w:r w:rsidRPr="00357DFC">
              <w:rPr>
                <w:rFonts w:ascii="Calibri" w:hAnsi="Calibri"/>
                <w:sz w:val="20"/>
                <w:szCs w:val="20"/>
              </w:rPr>
              <w:t>Does the University have an obligation to advance amounts to the transferee before it collects equivalent amounts from the future revenues</w:t>
            </w:r>
            <w:proofErr w:type="gramStart"/>
            <w:r w:rsidRPr="00357DFC">
              <w:rPr>
                <w:rFonts w:ascii="Calibri" w:hAnsi="Calibri"/>
                <w:sz w:val="20"/>
                <w:szCs w:val="20"/>
              </w:rPr>
              <w:t xml:space="preserve">? </w:t>
            </w:r>
            <w:proofErr w:type="gramEnd"/>
            <w:r w:rsidRPr="00357DFC">
              <w:rPr>
                <w:rFonts w:ascii="Calibri" w:hAnsi="Calibri"/>
                <w:i/>
                <w:iCs/>
                <w:sz w:val="20"/>
                <w:szCs w:val="20"/>
              </w:rPr>
              <w:t>Note:</w:t>
            </w:r>
            <w:r w:rsidRPr="00357DFC">
              <w:rPr>
                <w:rFonts w:ascii="Calibri" w:hAnsi="Calibri"/>
                <w:sz w:val="20"/>
                <w:szCs w:val="20"/>
              </w:rPr>
              <w:t xml:space="preserve"> The payments to the transferee should be made only from the resources generated by the specific future revenues rather than from the University’s own resources</w:t>
            </w:r>
            <w:proofErr w:type="gramStart"/>
            <w:r w:rsidRPr="00357DFC">
              <w:rPr>
                <w:rFonts w:ascii="Calibri" w:hAnsi="Calibri"/>
                <w:sz w:val="20"/>
                <w:szCs w:val="20"/>
              </w:rPr>
              <w:t xml:space="preserve">. </w:t>
            </w:r>
            <w:proofErr w:type="gramEnd"/>
            <w:r w:rsidRPr="00357DFC">
              <w:rPr>
                <w:rFonts w:ascii="Calibri" w:hAnsi="Calibri"/>
                <w:sz w:val="20"/>
                <w:szCs w:val="20"/>
              </w:rPr>
              <w:t xml:space="preserve">(¶7b(1)) </w:t>
            </w:r>
          </w:p>
        </w:tc>
        <w:tc>
          <w:tcPr>
            <w:tcW w:w="887"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c>
          <w:tcPr>
            <w:tcW w:w="236" w:type="dxa"/>
          </w:tcPr>
          <w:p w:rsidR="004001FA" w:rsidRPr="00357DFC"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357DFC"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vAlign w:val="center"/>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10. Is the cash collected by the University on behalf of the transferee remitted to the transferee after significant delay</w:t>
            </w:r>
            <w:proofErr w:type="gramStart"/>
            <w:r w:rsidRPr="00987037">
              <w:rPr>
                <w:rFonts w:ascii="Calibri" w:hAnsi="Calibri"/>
                <w:sz w:val="20"/>
                <w:szCs w:val="20"/>
              </w:rPr>
              <w:t xml:space="preserve">? </w:t>
            </w:r>
            <w:proofErr w:type="gramEnd"/>
            <w:r w:rsidRPr="00987037">
              <w:rPr>
                <w:rFonts w:ascii="Calibri" w:hAnsi="Calibri"/>
                <w:sz w:val="20"/>
                <w:szCs w:val="20"/>
              </w:rPr>
              <w:t xml:space="preserve">(¶7b(2)) </w:t>
            </w:r>
          </w:p>
        </w:tc>
        <w:tc>
          <w:tcPr>
            <w:tcW w:w="887" w:type="dxa"/>
            <w:tcBorders>
              <w:top w:val="single" w:sz="4" w:space="0" w:color="auto"/>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Pr="00987037"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If the answers to Questions 1–7 and 9–10 are “no,” notwithstanding the fact that the answer to Question 8 is “yes,” then the transaction must be recorded as a true sale, not as a collateralized borrowing.</w:t>
            </w:r>
          </w:p>
        </w:tc>
        <w:tc>
          <w:tcPr>
            <w:tcW w:w="887" w:type="dxa"/>
            <w:tcBorders>
              <w:top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top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 xml:space="preserve">The University may remain associated with specific revenues in ways that </w:t>
            </w:r>
            <w:r w:rsidRPr="00987037">
              <w:rPr>
                <w:rFonts w:ascii="Calibri" w:hAnsi="Calibri"/>
                <w:sz w:val="20"/>
                <w:szCs w:val="20"/>
                <w:u w:val="single"/>
              </w:rPr>
              <w:t>do not</w:t>
            </w:r>
            <w:r w:rsidRPr="00987037">
              <w:rPr>
                <w:rFonts w:ascii="Calibri" w:hAnsi="Calibri"/>
                <w:sz w:val="20"/>
                <w:szCs w:val="20"/>
              </w:rPr>
              <w:t xml:space="preserve"> constitute the primary or fundamental activity that generates the revenues and thus </w:t>
            </w:r>
            <w:r w:rsidRPr="00987037">
              <w:rPr>
                <w:rFonts w:ascii="Calibri" w:hAnsi="Calibri"/>
                <w:sz w:val="20"/>
                <w:szCs w:val="20"/>
                <w:u w:val="single"/>
              </w:rPr>
              <w:t xml:space="preserve">would not be considered </w:t>
            </w:r>
            <w:proofErr w:type="gramStart"/>
            <w:r w:rsidRPr="00987037">
              <w:rPr>
                <w:rFonts w:ascii="Calibri" w:hAnsi="Calibri"/>
                <w:sz w:val="20"/>
                <w:szCs w:val="20"/>
                <w:u w:val="single"/>
              </w:rPr>
              <w:t>to be actively</w:t>
            </w:r>
            <w:proofErr w:type="gramEnd"/>
            <w:r w:rsidRPr="00987037">
              <w:rPr>
                <w:rFonts w:ascii="Calibri" w:hAnsi="Calibri"/>
                <w:sz w:val="20"/>
                <w:szCs w:val="20"/>
                <w:u w:val="single"/>
              </w:rPr>
              <w:t xml:space="preserve"> involved in the generation of those revenues</w:t>
            </w:r>
            <w:r>
              <w:rPr>
                <w:rFonts w:ascii="Calibri" w:hAnsi="Calibri"/>
                <w:sz w:val="20"/>
                <w:szCs w:val="20"/>
              </w:rPr>
              <w:t>.</w:t>
            </w:r>
          </w:p>
        </w:tc>
        <w:tc>
          <w:tcPr>
            <w:tcW w:w="887" w:type="dxa"/>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vAlign w:val="center"/>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Perform an assessment of the following, although a “yes” answer is informational and not in</w:t>
            </w:r>
            <w:r>
              <w:rPr>
                <w:rFonts w:ascii="Calibri" w:hAnsi="Calibri"/>
                <w:sz w:val="20"/>
                <w:szCs w:val="20"/>
              </w:rPr>
              <w:t>dicative of active involvement.</w:t>
            </w:r>
          </w:p>
        </w:tc>
        <w:tc>
          <w:tcPr>
            <w:tcW w:w="887" w:type="dxa"/>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vAlign w:val="center"/>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11. Does the University hold title to revenue-producing assets (for leases, rents or royalty income, for example)</w:t>
            </w:r>
            <w:proofErr w:type="gramStart"/>
            <w:r w:rsidRPr="00987037">
              <w:rPr>
                <w:rFonts w:ascii="Calibri" w:hAnsi="Calibri"/>
                <w:sz w:val="20"/>
                <w:szCs w:val="20"/>
              </w:rPr>
              <w:t xml:space="preserve">? </w:t>
            </w:r>
            <w:proofErr w:type="gramEnd"/>
            <w:r w:rsidRPr="00987037">
              <w:rPr>
                <w:rFonts w:ascii="Calibri" w:hAnsi="Calibri"/>
                <w:sz w:val="20"/>
                <w:szCs w:val="20"/>
              </w:rPr>
              <w:t xml:space="preserve">(¶10a)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vAlign w:val="center"/>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12. Does the University own a contractual right to a stream of future revenues</w:t>
            </w:r>
            <w:proofErr w:type="gramStart"/>
            <w:r w:rsidRPr="00987037">
              <w:rPr>
                <w:rFonts w:ascii="Calibri" w:hAnsi="Calibri"/>
                <w:sz w:val="20"/>
                <w:szCs w:val="20"/>
              </w:rPr>
              <w:t xml:space="preserve">? </w:t>
            </w:r>
            <w:proofErr w:type="gramEnd"/>
            <w:r w:rsidRPr="00987037">
              <w:rPr>
                <w:rFonts w:ascii="Calibri" w:hAnsi="Calibri"/>
                <w:sz w:val="20"/>
                <w:szCs w:val="20"/>
              </w:rPr>
              <w:t xml:space="preserve">(¶10b)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13. Does the University maintain an association with the future revenues by retaining the required characteristics of the future revenues in order for the cash to flow</w:t>
            </w:r>
            <w:proofErr w:type="gramStart"/>
            <w:r w:rsidRPr="00987037">
              <w:rPr>
                <w:rFonts w:ascii="Calibri" w:hAnsi="Calibri"/>
                <w:sz w:val="20"/>
                <w:szCs w:val="20"/>
              </w:rPr>
              <w:t xml:space="preserve">? </w:t>
            </w:r>
            <w:proofErr w:type="gramEnd"/>
            <w:r w:rsidRPr="00987037">
              <w:rPr>
                <w:rFonts w:ascii="Calibri" w:hAnsi="Calibri"/>
                <w:sz w:val="20"/>
                <w:szCs w:val="20"/>
              </w:rPr>
              <w:t xml:space="preserve">(GASB Statement No. 33 ¶20a)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14. Does the University maintain an association with the future revenues by meeting time requirements specified by enabling legislation or the provider</w:t>
            </w:r>
            <w:proofErr w:type="gramStart"/>
            <w:r w:rsidRPr="00987037">
              <w:rPr>
                <w:rFonts w:ascii="Calibri" w:hAnsi="Calibri"/>
                <w:sz w:val="20"/>
                <w:szCs w:val="20"/>
              </w:rPr>
              <w:t xml:space="preserve">? </w:t>
            </w:r>
            <w:proofErr w:type="gramEnd"/>
            <w:r w:rsidRPr="00987037">
              <w:rPr>
                <w:rFonts w:ascii="Calibri" w:hAnsi="Calibri"/>
                <w:sz w:val="20"/>
                <w:szCs w:val="20"/>
              </w:rPr>
              <w:t xml:space="preserve">(GASB Statement No. 33 ¶20b)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15. Does the University maintain an association with the future revenues by incurring allowable costs under the applicable programs where the provider offers resources on a reimbursement (“expenditure-driven”) basis</w:t>
            </w:r>
            <w:proofErr w:type="gramStart"/>
            <w:r w:rsidRPr="00987037">
              <w:rPr>
                <w:rFonts w:ascii="Calibri" w:hAnsi="Calibri"/>
                <w:sz w:val="20"/>
                <w:szCs w:val="20"/>
              </w:rPr>
              <w:t xml:space="preserve">? </w:t>
            </w:r>
            <w:proofErr w:type="gramEnd"/>
            <w:r w:rsidRPr="00987037">
              <w:rPr>
                <w:rFonts w:ascii="Calibri" w:hAnsi="Calibri"/>
                <w:sz w:val="20"/>
                <w:szCs w:val="20"/>
              </w:rPr>
              <w:t xml:space="preserve">(GASB Statement No. 33 ¶20c)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16. Does the University maintain an association with the future revenues by meeting a specified action required by the provider of the resources</w:t>
            </w:r>
            <w:proofErr w:type="gramStart"/>
            <w:r w:rsidRPr="00987037">
              <w:rPr>
                <w:rFonts w:ascii="Calibri" w:hAnsi="Calibri"/>
                <w:sz w:val="20"/>
                <w:szCs w:val="20"/>
              </w:rPr>
              <w:t xml:space="preserve">? </w:t>
            </w:r>
            <w:proofErr w:type="gramEnd"/>
            <w:r w:rsidRPr="00987037">
              <w:rPr>
                <w:rFonts w:ascii="Calibri" w:hAnsi="Calibri"/>
                <w:sz w:val="20"/>
                <w:szCs w:val="20"/>
              </w:rPr>
              <w:t>The provider’s offer of resources is contingent upon a specified action of the recipient and that action has occurred</w:t>
            </w:r>
            <w:proofErr w:type="gramStart"/>
            <w:r w:rsidRPr="00987037">
              <w:rPr>
                <w:rFonts w:ascii="Calibri" w:hAnsi="Calibri"/>
                <w:sz w:val="20"/>
                <w:szCs w:val="20"/>
              </w:rPr>
              <w:t xml:space="preserve">. </w:t>
            </w:r>
            <w:proofErr w:type="gramEnd"/>
            <w:r w:rsidRPr="00987037">
              <w:rPr>
                <w:rFonts w:ascii="Calibri" w:hAnsi="Calibri"/>
                <w:sz w:val="20"/>
                <w:szCs w:val="20"/>
              </w:rPr>
              <w:t>(For example, the University is required to raise a specific amount of resources from third parties or to dedicate its own resources for a specified purpose and has complied with those requirements.</w:t>
            </w:r>
            <w:proofErr w:type="gramStart"/>
            <w:r w:rsidRPr="00987037">
              <w:rPr>
                <w:rFonts w:ascii="Calibri" w:hAnsi="Calibri"/>
                <w:sz w:val="20"/>
                <w:szCs w:val="20"/>
              </w:rPr>
              <w:t xml:space="preserve">) </w:t>
            </w:r>
            <w:proofErr w:type="gramEnd"/>
            <w:r w:rsidRPr="00987037">
              <w:rPr>
                <w:rFonts w:ascii="Calibri" w:hAnsi="Calibri"/>
                <w:sz w:val="20"/>
                <w:szCs w:val="20"/>
              </w:rPr>
              <w:t xml:space="preserve">(GASB Statement No. 33 ¶20d)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r w:rsidR="004001FA" w:rsidRPr="00987037" w:rsidTr="00461737">
        <w:trPr>
          <w:cantSplit/>
        </w:trPr>
        <w:tc>
          <w:tcPr>
            <w:tcW w:w="6647" w:type="dxa"/>
          </w:tcPr>
          <w:p w:rsidR="004001FA" w:rsidRDefault="004001FA" w:rsidP="00461737">
            <w:pPr>
              <w:pStyle w:val="Default"/>
              <w:jc w:val="both"/>
              <w:rPr>
                <w:rFonts w:ascii="Calibri" w:hAnsi="Calibri"/>
                <w:sz w:val="20"/>
                <w:szCs w:val="20"/>
              </w:rPr>
            </w:pPr>
          </w:p>
          <w:p w:rsidR="004001FA" w:rsidRPr="00987037" w:rsidRDefault="004001FA" w:rsidP="00461737">
            <w:pPr>
              <w:pStyle w:val="Default"/>
              <w:jc w:val="both"/>
              <w:rPr>
                <w:rFonts w:ascii="Calibri" w:hAnsi="Calibri"/>
                <w:sz w:val="20"/>
                <w:szCs w:val="20"/>
              </w:rPr>
            </w:pPr>
            <w:r w:rsidRPr="00987037">
              <w:rPr>
                <w:rFonts w:ascii="Calibri" w:hAnsi="Calibri"/>
                <w:sz w:val="20"/>
                <w:szCs w:val="20"/>
              </w:rPr>
              <w:t>17. Has the University agreed to refrain from specified acts or transactions (e.g., agreeing to non-competition restrictions)</w:t>
            </w:r>
            <w:proofErr w:type="gramStart"/>
            <w:r w:rsidRPr="00987037">
              <w:rPr>
                <w:rFonts w:ascii="Calibri" w:hAnsi="Calibri"/>
                <w:sz w:val="20"/>
                <w:szCs w:val="20"/>
              </w:rPr>
              <w:t xml:space="preserve">? </w:t>
            </w:r>
            <w:proofErr w:type="gramEnd"/>
            <w:r w:rsidRPr="00987037">
              <w:rPr>
                <w:rFonts w:ascii="Calibri" w:hAnsi="Calibri"/>
                <w:sz w:val="20"/>
                <w:szCs w:val="20"/>
              </w:rPr>
              <w:t xml:space="preserve">(¶10d) </w:t>
            </w:r>
          </w:p>
        </w:tc>
        <w:tc>
          <w:tcPr>
            <w:tcW w:w="887"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c>
          <w:tcPr>
            <w:tcW w:w="236" w:type="dxa"/>
          </w:tcPr>
          <w:p w:rsidR="004001FA" w:rsidRPr="00987037" w:rsidRDefault="004001FA" w:rsidP="00461737">
            <w:pPr>
              <w:pStyle w:val="Default"/>
              <w:jc w:val="both"/>
              <w:rPr>
                <w:rFonts w:ascii="Calibri" w:hAnsi="Calibri"/>
                <w:color w:val="auto"/>
                <w:sz w:val="20"/>
                <w:szCs w:val="20"/>
              </w:rPr>
            </w:pPr>
          </w:p>
        </w:tc>
        <w:tc>
          <w:tcPr>
            <w:tcW w:w="1806" w:type="dxa"/>
            <w:tcBorders>
              <w:bottom w:val="single" w:sz="4" w:space="0" w:color="auto"/>
            </w:tcBorders>
          </w:tcPr>
          <w:p w:rsidR="004001FA" w:rsidRPr="00987037" w:rsidRDefault="004001FA" w:rsidP="00461737">
            <w:pPr>
              <w:pStyle w:val="Default"/>
              <w:jc w:val="both"/>
              <w:rPr>
                <w:rFonts w:ascii="Calibri" w:hAnsi="Calibri"/>
                <w:color w:val="auto"/>
                <w:sz w:val="20"/>
                <w:szCs w:val="20"/>
              </w:rPr>
            </w:pPr>
          </w:p>
        </w:tc>
      </w:tr>
    </w:tbl>
    <w:p w:rsidR="004001FA" w:rsidRPr="00987037" w:rsidRDefault="004001FA" w:rsidP="004001FA">
      <w:pPr>
        <w:pStyle w:val="Default"/>
        <w:rPr>
          <w:rFonts w:ascii="Calibri" w:hAnsi="Calibri"/>
          <w:color w:val="auto"/>
          <w:sz w:val="20"/>
          <w:szCs w:val="20"/>
        </w:rPr>
      </w:pPr>
    </w:p>
    <w:p w:rsidR="004001FA" w:rsidRDefault="004001FA" w:rsidP="004001FA">
      <w:pPr>
        <w:pStyle w:val="Default"/>
        <w:rPr>
          <w:rFonts w:ascii="Calibri" w:hAnsi="Calibri"/>
          <w:color w:val="auto"/>
          <w:sz w:val="22"/>
          <w:szCs w:val="22"/>
        </w:rPr>
      </w:pPr>
    </w:p>
    <w:p w:rsidR="004001FA" w:rsidRDefault="004001FA" w:rsidP="004001FA">
      <w:pPr>
        <w:pStyle w:val="Default"/>
        <w:tabs>
          <w:tab w:val="left" w:pos="1440"/>
        </w:tabs>
        <w:rPr>
          <w:rFonts w:ascii="Calibri" w:hAnsi="Calibri"/>
          <w:b/>
          <w:color w:val="auto"/>
          <w:sz w:val="22"/>
          <w:szCs w:val="22"/>
        </w:rPr>
      </w:pPr>
      <w:r>
        <w:rPr>
          <w:rFonts w:ascii="Calibri" w:hAnsi="Calibri"/>
          <w:b/>
          <w:color w:val="auto"/>
          <w:sz w:val="22"/>
          <w:szCs w:val="22"/>
        </w:rPr>
        <w:t>Prepared by:</w:t>
      </w:r>
      <w:r>
        <w:rPr>
          <w:rFonts w:ascii="Calibri" w:hAnsi="Calibri"/>
          <w:b/>
          <w:color w:val="auto"/>
          <w:sz w:val="22"/>
          <w:szCs w:val="22"/>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rPr>
        <w:tab/>
      </w:r>
      <w:r>
        <w:rPr>
          <w:rFonts w:ascii="Calibri" w:hAnsi="Calibri"/>
          <w:b/>
          <w:color w:val="auto"/>
          <w:sz w:val="22"/>
          <w:szCs w:val="22"/>
        </w:rPr>
        <w:tab/>
        <w:t xml:space="preserve">Date:   </w:t>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p>
    <w:p w:rsidR="004001FA" w:rsidRDefault="004001FA" w:rsidP="004001FA">
      <w:pPr>
        <w:pStyle w:val="Default"/>
        <w:tabs>
          <w:tab w:val="left" w:pos="1440"/>
        </w:tabs>
        <w:rPr>
          <w:rFonts w:ascii="Calibri" w:hAnsi="Calibri"/>
          <w:b/>
          <w:color w:val="auto"/>
          <w:sz w:val="22"/>
          <w:szCs w:val="22"/>
        </w:rPr>
      </w:pPr>
    </w:p>
    <w:p w:rsidR="004001FA" w:rsidRPr="00BC24EC" w:rsidRDefault="004001FA" w:rsidP="004001FA">
      <w:pPr>
        <w:pStyle w:val="Default"/>
        <w:tabs>
          <w:tab w:val="left" w:pos="1440"/>
        </w:tabs>
        <w:rPr>
          <w:rFonts w:ascii="Calibri" w:hAnsi="Calibri"/>
          <w:b/>
          <w:color w:val="auto"/>
          <w:sz w:val="22"/>
          <w:szCs w:val="22"/>
        </w:rPr>
      </w:pPr>
    </w:p>
    <w:p w:rsidR="004001FA" w:rsidRDefault="004001FA" w:rsidP="004001FA">
      <w:pPr>
        <w:pStyle w:val="Default"/>
        <w:tabs>
          <w:tab w:val="left" w:pos="1440"/>
        </w:tabs>
        <w:rPr>
          <w:rFonts w:ascii="Calibri" w:hAnsi="Calibri"/>
          <w:b/>
          <w:color w:val="auto"/>
          <w:sz w:val="22"/>
          <w:szCs w:val="22"/>
        </w:rPr>
      </w:pPr>
      <w:r>
        <w:rPr>
          <w:rFonts w:ascii="Calibri" w:hAnsi="Calibri"/>
          <w:b/>
          <w:color w:val="auto"/>
          <w:sz w:val="22"/>
          <w:szCs w:val="22"/>
        </w:rPr>
        <w:t>Reviewed by:</w:t>
      </w:r>
      <w:r>
        <w:rPr>
          <w:rFonts w:ascii="Calibri" w:hAnsi="Calibri"/>
          <w:b/>
          <w:color w:val="auto"/>
          <w:sz w:val="22"/>
          <w:szCs w:val="22"/>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rPr>
        <w:tab/>
      </w:r>
      <w:r>
        <w:rPr>
          <w:rFonts w:ascii="Calibri" w:hAnsi="Calibri"/>
          <w:b/>
          <w:color w:val="auto"/>
          <w:sz w:val="22"/>
          <w:szCs w:val="22"/>
        </w:rPr>
        <w:tab/>
        <w:t xml:space="preserve">Date:   </w:t>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p>
    <w:p w:rsidR="004001FA" w:rsidRPr="00D8307F" w:rsidRDefault="004001FA" w:rsidP="004001FA">
      <w:pPr>
        <w:rPr>
          <w:rFonts w:ascii="Calibri" w:hAnsi="Calibri"/>
        </w:rPr>
      </w:pPr>
    </w:p>
    <w:p w:rsidR="004001FA" w:rsidRPr="00D8307F" w:rsidRDefault="004001FA" w:rsidP="004001FA">
      <w:pPr>
        <w:rPr>
          <w:rFonts w:ascii="Calibri" w:hAnsi="Calibri"/>
        </w:rPr>
      </w:pPr>
    </w:p>
    <w:p w:rsidR="004001FA" w:rsidRPr="00D8307F" w:rsidRDefault="004001FA" w:rsidP="004001FA">
      <w:pPr>
        <w:rPr>
          <w:rFonts w:ascii="Calibri" w:hAnsi="Calibri"/>
        </w:rPr>
      </w:pPr>
    </w:p>
    <w:p w:rsidR="004001FA" w:rsidRPr="00D8307F" w:rsidRDefault="004001FA" w:rsidP="004001FA">
      <w:pPr>
        <w:rPr>
          <w:rFonts w:ascii="Calibri" w:hAnsi="Calibri"/>
        </w:rPr>
      </w:pPr>
    </w:p>
    <w:p w:rsidR="00EB0275" w:rsidRDefault="004001FA"/>
    <w:sectPr w:rsidR="00EB0275" w:rsidSect="00AA16F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1FA"/>
    <w:rsid w:val="000523A7"/>
    <w:rsid w:val="00053C21"/>
    <w:rsid w:val="000A2B3D"/>
    <w:rsid w:val="000B161E"/>
    <w:rsid w:val="000E4E7B"/>
    <w:rsid w:val="001125B3"/>
    <w:rsid w:val="0021294B"/>
    <w:rsid w:val="00220D8D"/>
    <w:rsid w:val="00307227"/>
    <w:rsid w:val="003113A5"/>
    <w:rsid w:val="003209E7"/>
    <w:rsid w:val="00321CF3"/>
    <w:rsid w:val="00366A91"/>
    <w:rsid w:val="003F0F20"/>
    <w:rsid w:val="004001FA"/>
    <w:rsid w:val="0047502E"/>
    <w:rsid w:val="004E2B49"/>
    <w:rsid w:val="004E646A"/>
    <w:rsid w:val="004F261D"/>
    <w:rsid w:val="00534D7B"/>
    <w:rsid w:val="005A2F73"/>
    <w:rsid w:val="005A383E"/>
    <w:rsid w:val="00602854"/>
    <w:rsid w:val="0063675B"/>
    <w:rsid w:val="00660268"/>
    <w:rsid w:val="006A65ED"/>
    <w:rsid w:val="00733215"/>
    <w:rsid w:val="00771582"/>
    <w:rsid w:val="007A393D"/>
    <w:rsid w:val="008144FA"/>
    <w:rsid w:val="00820C92"/>
    <w:rsid w:val="008C043A"/>
    <w:rsid w:val="009206DD"/>
    <w:rsid w:val="009C0A6D"/>
    <w:rsid w:val="009F7311"/>
    <w:rsid w:val="00A23DCE"/>
    <w:rsid w:val="00AA57AD"/>
    <w:rsid w:val="00B0722C"/>
    <w:rsid w:val="00B6489E"/>
    <w:rsid w:val="00BE475D"/>
    <w:rsid w:val="00C27CA8"/>
    <w:rsid w:val="00C55ECF"/>
    <w:rsid w:val="00CA6ADA"/>
    <w:rsid w:val="00CB23F5"/>
    <w:rsid w:val="00D015A9"/>
    <w:rsid w:val="00D10F92"/>
    <w:rsid w:val="00D357B0"/>
    <w:rsid w:val="00D75A14"/>
    <w:rsid w:val="00DF1624"/>
    <w:rsid w:val="00E1036E"/>
    <w:rsid w:val="00ED0714"/>
    <w:rsid w:val="00F332D0"/>
    <w:rsid w:val="00F46934"/>
    <w:rsid w:val="00F65611"/>
    <w:rsid w:val="00F96E59"/>
    <w:rsid w:val="00FD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9">
    <w:name w:val="CM69"/>
    <w:basedOn w:val="Normal"/>
    <w:next w:val="Normal"/>
    <w:uiPriority w:val="99"/>
    <w:rsid w:val="004001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70">
    <w:name w:val="CM70"/>
    <w:basedOn w:val="Normal"/>
    <w:next w:val="Normal"/>
    <w:uiPriority w:val="99"/>
    <w:rsid w:val="004001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4001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73">
    <w:name w:val="CM73"/>
    <w:basedOn w:val="Default"/>
    <w:next w:val="Default"/>
    <w:uiPriority w:val="99"/>
    <w:rsid w:val="004001FA"/>
    <w:rPr>
      <w:color w:val="auto"/>
    </w:rPr>
  </w:style>
  <w:style w:type="paragraph" w:customStyle="1" w:styleId="CM81">
    <w:name w:val="CM81"/>
    <w:basedOn w:val="Default"/>
    <w:next w:val="Default"/>
    <w:uiPriority w:val="99"/>
    <w:rsid w:val="004001FA"/>
    <w:rPr>
      <w:color w:val="auto"/>
    </w:rPr>
  </w:style>
  <w:style w:type="paragraph" w:customStyle="1" w:styleId="CM85">
    <w:name w:val="CM85"/>
    <w:basedOn w:val="Default"/>
    <w:next w:val="Default"/>
    <w:uiPriority w:val="99"/>
    <w:rsid w:val="004001FA"/>
    <w:rPr>
      <w:color w:val="auto"/>
    </w:rPr>
  </w:style>
  <w:style w:type="paragraph" w:customStyle="1" w:styleId="CM86">
    <w:name w:val="CM86"/>
    <w:basedOn w:val="Default"/>
    <w:next w:val="Default"/>
    <w:uiPriority w:val="99"/>
    <w:rsid w:val="004001FA"/>
    <w:rPr>
      <w:color w:val="auto"/>
    </w:rPr>
  </w:style>
  <w:style w:type="paragraph" w:customStyle="1" w:styleId="CM31">
    <w:name w:val="CM31"/>
    <w:basedOn w:val="Default"/>
    <w:next w:val="Default"/>
    <w:uiPriority w:val="99"/>
    <w:rsid w:val="004001FA"/>
    <w:pPr>
      <w:spacing w:line="253" w:lineRule="atLeast"/>
    </w:pPr>
    <w:rPr>
      <w:color w:val="auto"/>
    </w:rPr>
  </w:style>
  <w:style w:type="table" w:styleId="TableGrid">
    <w:name w:val="Table Grid"/>
    <w:basedOn w:val="TableNormal"/>
    <w:uiPriority w:val="59"/>
    <w:rsid w:val="0040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0</DocSecurity>
  <Lines>52</Lines>
  <Paragraphs>14</Paragraphs>
  <ScaleCrop>false</ScaleCrop>
  <Company>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Boline</dc:creator>
  <cp:keywords/>
  <dc:description/>
  <cp:lastModifiedBy>Sherill Boline</cp:lastModifiedBy>
  <cp:revision>1</cp:revision>
  <dcterms:created xsi:type="dcterms:W3CDTF">2008-08-27T19:34:00Z</dcterms:created>
  <dcterms:modified xsi:type="dcterms:W3CDTF">2008-08-27T19:35:00Z</dcterms:modified>
</cp:coreProperties>
</file>